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52A51A" w14:textId="77777777" w:rsidR="001D002A" w:rsidRDefault="00000000">
      <w:pPr>
        <w:spacing w:line="480" w:lineRule="auto"/>
        <w:rPr>
          <w:rFonts w:ascii="Times New Roman" w:eastAsia="Times New Roman" w:hAnsi="Times New Roman" w:cs="Times New Roman"/>
          <w:b/>
        </w:rPr>
      </w:pPr>
      <w:bookmarkStart w:id="0" w:name="_heading=h.7tzjsqm000dq" w:colFirst="0" w:colLast="0"/>
      <w:bookmarkEnd w:id="0"/>
      <w:r>
        <w:rPr>
          <w:rFonts w:ascii="Times New Roman" w:eastAsia="Times New Roman" w:hAnsi="Times New Roman" w:cs="Times New Roman"/>
          <w:b/>
        </w:rPr>
        <w:t>Unintended Consequences: The Escalating Research Demands of the Neurosurgery Match</w:t>
      </w:r>
    </w:p>
    <w:p w14:paraId="3F9497B5" w14:textId="77777777" w:rsidR="001D002A" w:rsidRDefault="00000000">
      <w:pPr>
        <w:spacing w:line="480" w:lineRule="auto"/>
        <w:jc w:val="center"/>
        <w:rPr>
          <w:rFonts w:ascii="Times New Roman" w:eastAsia="Times New Roman" w:hAnsi="Times New Roman" w:cs="Times New Roman"/>
        </w:rPr>
      </w:pPr>
      <w:r>
        <w:rPr>
          <w:rFonts w:ascii="Times New Roman" w:eastAsia="Times New Roman" w:hAnsi="Times New Roman" w:cs="Times New Roman"/>
        </w:rPr>
        <w:t>By</w:t>
      </w:r>
    </w:p>
    <w:p w14:paraId="428CDC9C" w14:textId="77777777" w:rsidR="001D002A" w:rsidRDefault="00000000">
      <w:pPr>
        <w:spacing w:line="480" w:lineRule="auto"/>
        <w:rPr>
          <w:rFonts w:ascii="Times New Roman" w:eastAsia="Times New Roman" w:hAnsi="Times New Roman" w:cs="Times New Roman"/>
        </w:rPr>
      </w:pPr>
      <w:proofErr w:type="gramStart"/>
      <w:r>
        <w:rPr>
          <w:rFonts w:ascii="Times New Roman" w:eastAsia="Times New Roman" w:hAnsi="Times New Roman" w:cs="Times New Roman"/>
        </w:rPr>
        <w:t>James  R.</w:t>
      </w:r>
      <w:proofErr w:type="gramEnd"/>
      <w:r>
        <w:rPr>
          <w:rFonts w:ascii="Times New Roman" w:eastAsia="Times New Roman" w:hAnsi="Times New Roman" w:cs="Times New Roman"/>
        </w:rPr>
        <w:t xml:space="preserve"> Burmeister, B.S., Medical Student, Oakland University William Beaumont School of Medicine, Rochester, 586 Pioneer Drive, MI 48309. jburmeister@oakland.edu  </w:t>
      </w:r>
    </w:p>
    <w:p w14:paraId="30F82F0E" w14:textId="77777777" w:rsidR="001D002A" w:rsidRDefault="001D002A">
      <w:pPr>
        <w:spacing w:line="480" w:lineRule="auto"/>
        <w:rPr>
          <w:rFonts w:ascii="Times New Roman" w:eastAsia="Times New Roman" w:hAnsi="Times New Roman" w:cs="Times New Roman"/>
        </w:rPr>
      </w:pPr>
    </w:p>
    <w:p w14:paraId="3C31F285" w14:textId="77777777" w:rsidR="001D002A" w:rsidRDefault="00000000">
      <w:pPr>
        <w:spacing w:line="480" w:lineRule="auto"/>
        <w:rPr>
          <w:rFonts w:ascii="Times New Roman" w:eastAsia="Times New Roman" w:hAnsi="Times New Roman" w:cs="Times New Roman"/>
        </w:rPr>
      </w:pPr>
      <w:r>
        <w:rPr>
          <w:rFonts w:ascii="Times New Roman" w:eastAsia="Times New Roman" w:hAnsi="Times New Roman" w:cs="Times New Roman"/>
        </w:rPr>
        <w:t xml:space="preserve">Lauren L. </w:t>
      </w:r>
      <w:proofErr w:type="spellStart"/>
      <w:r>
        <w:rPr>
          <w:rFonts w:ascii="Times New Roman" w:eastAsia="Times New Roman" w:hAnsi="Times New Roman" w:cs="Times New Roman"/>
        </w:rPr>
        <w:t>Walkon</w:t>
      </w:r>
      <w:proofErr w:type="spellEnd"/>
      <w:r>
        <w:rPr>
          <w:rFonts w:ascii="Times New Roman" w:eastAsia="Times New Roman" w:hAnsi="Times New Roman" w:cs="Times New Roman"/>
        </w:rPr>
        <w:t>, B.S., Medical Student, Oakland University William Beaumont School of Medicine, 586 Pioneer Drive, Rochester, MI, 48309. laurenwalkon@oakland.edu</w:t>
      </w:r>
    </w:p>
    <w:p w14:paraId="6331A843" w14:textId="77777777" w:rsidR="001D002A" w:rsidRDefault="001D002A">
      <w:pPr>
        <w:spacing w:line="480" w:lineRule="auto"/>
        <w:rPr>
          <w:rFonts w:ascii="Times New Roman" w:eastAsia="Times New Roman" w:hAnsi="Times New Roman" w:cs="Times New Roman"/>
        </w:rPr>
      </w:pPr>
    </w:p>
    <w:p w14:paraId="03110B47" w14:textId="77777777" w:rsidR="001D002A" w:rsidRDefault="00000000">
      <w:pPr>
        <w:spacing w:line="480" w:lineRule="auto"/>
        <w:rPr>
          <w:rFonts w:ascii="Times New Roman" w:eastAsia="Times New Roman" w:hAnsi="Times New Roman" w:cs="Times New Roman"/>
        </w:rPr>
      </w:pPr>
      <w:r>
        <w:rPr>
          <w:rFonts w:ascii="Times New Roman" w:eastAsia="Times New Roman" w:hAnsi="Times New Roman" w:cs="Times New Roman"/>
        </w:rPr>
        <w:t xml:space="preserve">Forrest Bohler, B.S., Medical Student, Oakland University William Beaumont School of Medicine, Rochester, 586 Pioneer Drive, MI 48309. </w:t>
      </w:r>
      <w:hyperlink r:id="rId7">
        <w:r w:rsidR="001D002A">
          <w:rPr>
            <w:rFonts w:ascii="Times New Roman" w:eastAsia="Times New Roman" w:hAnsi="Times New Roman" w:cs="Times New Roman"/>
            <w:color w:val="0000FF"/>
            <w:u w:val="single"/>
          </w:rPr>
          <w:t>bohler@oakland.edu</w:t>
        </w:r>
      </w:hyperlink>
      <w:r>
        <w:rPr>
          <w:rFonts w:ascii="Times New Roman" w:eastAsia="Times New Roman" w:hAnsi="Times New Roman" w:cs="Times New Roman"/>
        </w:rPr>
        <w:t xml:space="preserve">  </w:t>
      </w:r>
    </w:p>
    <w:p w14:paraId="3FEA5CB6" w14:textId="77777777" w:rsidR="001D002A" w:rsidRDefault="001D002A">
      <w:pPr>
        <w:spacing w:line="480" w:lineRule="auto"/>
        <w:rPr>
          <w:rFonts w:ascii="Times New Roman" w:eastAsia="Times New Roman" w:hAnsi="Times New Roman" w:cs="Times New Roman"/>
        </w:rPr>
      </w:pPr>
    </w:p>
    <w:p w14:paraId="1CF39B9F" w14:textId="77777777" w:rsidR="001D002A" w:rsidRDefault="00000000">
      <w:pPr>
        <w:spacing w:line="480" w:lineRule="auto"/>
        <w:rPr>
          <w:rFonts w:ascii="Times New Roman" w:eastAsia="Times New Roman" w:hAnsi="Times New Roman" w:cs="Times New Roman"/>
        </w:rPr>
      </w:pPr>
      <w:r>
        <w:rPr>
          <w:rFonts w:ascii="Times New Roman" w:eastAsia="Times New Roman" w:hAnsi="Times New Roman" w:cs="Times New Roman"/>
        </w:rPr>
        <w:t xml:space="preserve">Ismail </w:t>
      </w:r>
      <w:proofErr w:type="spellStart"/>
      <w:r>
        <w:rPr>
          <w:rFonts w:ascii="Times New Roman" w:eastAsia="Times New Roman" w:hAnsi="Times New Roman" w:cs="Times New Roman"/>
        </w:rPr>
        <w:t>Zazay</w:t>
      </w:r>
      <w:proofErr w:type="spellEnd"/>
      <w:r>
        <w:rPr>
          <w:rFonts w:ascii="Times New Roman" w:eastAsia="Times New Roman" w:hAnsi="Times New Roman" w:cs="Times New Roman"/>
        </w:rPr>
        <w:t xml:space="preserve">, B.S., Medical Student, Department of Foundational Medical Studies, John Sealy School of Medicine, University of Texas Medical Branch, Galveston, TX, USA Ikzazay@utmb.edu </w:t>
      </w:r>
    </w:p>
    <w:p w14:paraId="48A5E3A6" w14:textId="77777777" w:rsidR="001D002A" w:rsidRDefault="001D002A">
      <w:pPr>
        <w:spacing w:line="480" w:lineRule="auto"/>
        <w:rPr>
          <w:rFonts w:ascii="Times New Roman" w:eastAsia="Times New Roman" w:hAnsi="Times New Roman" w:cs="Times New Roman"/>
        </w:rPr>
      </w:pPr>
    </w:p>
    <w:p w14:paraId="1F1B3CAF" w14:textId="77777777" w:rsidR="001D002A" w:rsidRDefault="00000000">
      <w:pPr>
        <w:spacing w:line="480" w:lineRule="auto"/>
        <w:rPr>
          <w:rFonts w:ascii="Times New Roman" w:eastAsia="Times New Roman" w:hAnsi="Times New Roman" w:cs="Times New Roman"/>
        </w:rPr>
      </w:pPr>
      <w:r>
        <w:rPr>
          <w:rFonts w:ascii="Times New Roman" w:eastAsia="Times New Roman" w:hAnsi="Times New Roman" w:cs="Times New Roman"/>
        </w:rPr>
        <w:t>Cesar A. Serrano-Almeida, MD, Neurological Surgeon, Oakland University William Beaumont School of Medicine, Rochester, 586 Pioneer Drive, MI 48309. cesar.serranoalmeida@beaumont.org</w:t>
      </w:r>
    </w:p>
    <w:p w14:paraId="72F3D632" w14:textId="77777777" w:rsidR="001D002A" w:rsidRDefault="001D002A">
      <w:pPr>
        <w:spacing w:line="480" w:lineRule="auto"/>
        <w:rPr>
          <w:rFonts w:ascii="Times New Roman" w:eastAsia="Times New Roman" w:hAnsi="Times New Roman" w:cs="Times New Roman"/>
        </w:rPr>
      </w:pPr>
    </w:p>
    <w:p w14:paraId="0F6D2717" w14:textId="77777777" w:rsidR="001D002A" w:rsidRDefault="00000000">
      <w:pPr>
        <w:spacing w:line="480" w:lineRule="auto"/>
        <w:rPr>
          <w:rFonts w:ascii="Times New Roman" w:eastAsia="Times New Roman" w:hAnsi="Times New Roman" w:cs="Times New Roman"/>
        </w:rPr>
      </w:pPr>
      <w:r>
        <w:rPr>
          <w:rFonts w:ascii="Times New Roman" w:eastAsia="Times New Roman" w:hAnsi="Times New Roman" w:cs="Times New Roman"/>
        </w:rPr>
        <w:t xml:space="preserve">Corresponding Author: Ismail </w:t>
      </w:r>
      <w:proofErr w:type="spellStart"/>
      <w:r>
        <w:rPr>
          <w:rFonts w:ascii="Times New Roman" w:eastAsia="Times New Roman" w:hAnsi="Times New Roman" w:cs="Times New Roman"/>
        </w:rPr>
        <w:t>Zazay</w:t>
      </w:r>
      <w:proofErr w:type="spellEnd"/>
      <w:r>
        <w:rPr>
          <w:rFonts w:ascii="Times New Roman" w:eastAsia="Times New Roman" w:hAnsi="Times New Roman" w:cs="Times New Roman"/>
        </w:rPr>
        <w:t xml:space="preserve">, B.S., Medical Student, Department of Foundational Medical Studies, John Sealy School of Medicine, University of Texas Medical Branch, Galveston, TX, USA Ikzazay@utmb.edu  </w:t>
      </w:r>
    </w:p>
    <w:p w14:paraId="6981589F" w14:textId="77777777" w:rsidR="001D002A" w:rsidRDefault="00000000">
      <w:pPr>
        <w:spacing w:line="480" w:lineRule="auto"/>
        <w:rPr>
          <w:rFonts w:ascii="Times New Roman" w:eastAsia="Times New Roman" w:hAnsi="Times New Roman" w:cs="Times New Roman"/>
        </w:rPr>
      </w:pPr>
      <w:r>
        <w:rPr>
          <w:rFonts w:ascii="Times New Roman" w:eastAsia="Times New Roman" w:hAnsi="Times New Roman" w:cs="Times New Roman"/>
        </w:rPr>
        <w:lastRenderedPageBreak/>
        <w:t xml:space="preserve">Financial Disclosures: Mr. Burmeister, Ms. </w:t>
      </w:r>
      <w:proofErr w:type="spellStart"/>
      <w:r>
        <w:rPr>
          <w:rFonts w:ascii="Times New Roman" w:eastAsia="Times New Roman" w:hAnsi="Times New Roman" w:cs="Times New Roman"/>
        </w:rPr>
        <w:t>Walkon</w:t>
      </w:r>
      <w:proofErr w:type="spellEnd"/>
      <w:r>
        <w:rPr>
          <w:rFonts w:ascii="Times New Roman" w:eastAsia="Times New Roman" w:hAnsi="Times New Roman" w:cs="Times New Roman"/>
        </w:rPr>
        <w:t xml:space="preserve">, Mr. Bohler and Mr. </w:t>
      </w:r>
      <w:proofErr w:type="spellStart"/>
      <w:r>
        <w:rPr>
          <w:rFonts w:ascii="Times New Roman" w:eastAsia="Times New Roman" w:hAnsi="Times New Roman" w:cs="Times New Roman"/>
        </w:rPr>
        <w:t>Zazay</w:t>
      </w:r>
      <w:proofErr w:type="spellEnd"/>
      <w:r>
        <w:rPr>
          <w:rFonts w:ascii="Times New Roman" w:eastAsia="Times New Roman" w:hAnsi="Times New Roman" w:cs="Times New Roman"/>
        </w:rPr>
        <w:t xml:space="preserve"> declare no conflict of interest.</w:t>
      </w:r>
    </w:p>
    <w:p w14:paraId="2231BF9A" w14:textId="77777777" w:rsidR="001D002A" w:rsidRDefault="001D002A">
      <w:pPr>
        <w:spacing w:line="480" w:lineRule="auto"/>
        <w:rPr>
          <w:rFonts w:ascii="Times New Roman" w:eastAsia="Times New Roman" w:hAnsi="Times New Roman" w:cs="Times New Roman"/>
        </w:rPr>
      </w:pPr>
    </w:p>
    <w:p w14:paraId="699049BD" w14:textId="77777777" w:rsidR="001D002A" w:rsidRDefault="00000000">
      <w:pPr>
        <w:spacing w:line="480" w:lineRule="auto"/>
        <w:rPr>
          <w:rFonts w:ascii="Times New Roman" w:eastAsia="Times New Roman" w:hAnsi="Times New Roman" w:cs="Times New Roman"/>
        </w:rPr>
      </w:pPr>
      <w:r>
        <w:rPr>
          <w:rFonts w:ascii="Times New Roman" w:eastAsia="Times New Roman" w:hAnsi="Times New Roman" w:cs="Times New Roman"/>
        </w:rPr>
        <w:t>Funding/Support: None</w:t>
      </w:r>
    </w:p>
    <w:p w14:paraId="5F69CCD9" w14:textId="77777777" w:rsidR="001D002A" w:rsidRDefault="001D002A">
      <w:pPr>
        <w:spacing w:line="480" w:lineRule="auto"/>
        <w:rPr>
          <w:rFonts w:ascii="Times New Roman" w:eastAsia="Times New Roman" w:hAnsi="Times New Roman" w:cs="Times New Roman"/>
        </w:rPr>
      </w:pPr>
    </w:p>
    <w:p w14:paraId="78E47DF7" w14:textId="77777777" w:rsidR="001D002A" w:rsidRDefault="00000000">
      <w:pPr>
        <w:spacing w:line="480" w:lineRule="auto"/>
        <w:rPr>
          <w:rFonts w:ascii="Times New Roman" w:eastAsia="Times New Roman" w:hAnsi="Times New Roman" w:cs="Times New Roman"/>
        </w:rPr>
      </w:pPr>
      <w:r>
        <w:rPr>
          <w:rFonts w:ascii="Times New Roman" w:eastAsia="Times New Roman" w:hAnsi="Times New Roman" w:cs="Times New Roman"/>
        </w:rPr>
        <w:t>Manuscript Type: Original Research Article</w:t>
      </w:r>
    </w:p>
    <w:p w14:paraId="70C16477" w14:textId="77777777" w:rsidR="001D002A" w:rsidRDefault="001D002A">
      <w:pPr>
        <w:spacing w:line="480" w:lineRule="auto"/>
        <w:rPr>
          <w:rFonts w:ascii="Times New Roman" w:eastAsia="Times New Roman" w:hAnsi="Times New Roman" w:cs="Times New Roman"/>
        </w:rPr>
      </w:pPr>
    </w:p>
    <w:p w14:paraId="46380D1C" w14:textId="77777777" w:rsidR="001D002A" w:rsidRDefault="00000000">
      <w:pPr>
        <w:spacing w:line="480" w:lineRule="auto"/>
        <w:rPr>
          <w:rFonts w:ascii="Times New Roman" w:eastAsia="Times New Roman" w:hAnsi="Times New Roman" w:cs="Times New Roman"/>
        </w:rPr>
      </w:pPr>
      <w:r>
        <w:rPr>
          <w:rFonts w:ascii="Times New Roman" w:eastAsia="Times New Roman" w:hAnsi="Times New Roman" w:cs="Times New Roman"/>
        </w:rPr>
        <w:t>Manuscript Word Count: 1182</w:t>
      </w:r>
    </w:p>
    <w:p w14:paraId="6F5BC9F4" w14:textId="77777777" w:rsidR="001D002A" w:rsidRDefault="001D002A">
      <w:pPr>
        <w:spacing w:line="480" w:lineRule="auto"/>
        <w:rPr>
          <w:rFonts w:ascii="Times New Roman" w:eastAsia="Times New Roman" w:hAnsi="Times New Roman" w:cs="Times New Roman"/>
        </w:rPr>
      </w:pPr>
    </w:p>
    <w:p w14:paraId="2F5F8D3A" w14:textId="77777777" w:rsidR="001D002A" w:rsidRDefault="00000000">
      <w:pPr>
        <w:spacing w:line="480" w:lineRule="auto"/>
        <w:rPr>
          <w:rFonts w:ascii="Times New Roman" w:eastAsia="Times New Roman" w:hAnsi="Times New Roman" w:cs="Times New Roman"/>
        </w:rPr>
      </w:pPr>
      <w:r>
        <w:rPr>
          <w:rFonts w:ascii="Times New Roman" w:eastAsia="Times New Roman" w:hAnsi="Times New Roman" w:cs="Times New Roman"/>
        </w:rPr>
        <w:t>Keywords: neurological surgery residency, medical education, research, research output, research fever, medical students</w:t>
      </w:r>
    </w:p>
    <w:p w14:paraId="7FB9C002" w14:textId="77777777" w:rsidR="001D002A" w:rsidRDefault="001D002A">
      <w:pPr>
        <w:spacing w:line="480" w:lineRule="auto"/>
        <w:rPr>
          <w:rFonts w:ascii="Times New Roman" w:eastAsia="Times New Roman" w:hAnsi="Times New Roman" w:cs="Times New Roman"/>
        </w:rPr>
      </w:pPr>
    </w:p>
    <w:p w14:paraId="14081A0B" w14:textId="77777777" w:rsidR="001D002A" w:rsidRDefault="00000000">
      <w:pPr>
        <w:spacing w:line="480" w:lineRule="auto"/>
        <w:rPr>
          <w:rFonts w:ascii="Times New Roman" w:eastAsia="Times New Roman" w:hAnsi="Times New Roman" w:cs="Times New Roman"/>
          <w:b/>
        </w:rPr>
      </w:pPr>
      <w:r>
        <w:rPr>
          <w:rFonts w:ascii="Times New Roman" w:eastAsia="Times New Roman" w:hAnsi="Times New Roman" w:cs="Times New Roman"/>
          <w:b/>
        </w:rPr>
        <w:t>List of Abbreviations</w:t>
      </w:r>
    </w:p>
    <w:p w14:paraId="15DBE181" w14:textId="77777777" w:rsidR="001D002A" w:rsidRDefault="00000000">
      <w:pPr>
        <w:spacing w:line="480" w:lineRule="auto"/>
        <w:rPr>
          <w:rFonts w:ascii="Times New Roman" w:eastAsia="Times New Roman" w:hAnsi="Times New Roman" w:cs="Times New Roman"/>
        </w:rPr>
      </w:pPr>
      <w:r>
        <w:rPr>
          <w:rFonts w:ascii="Times New Roman" w:eastAsia="Times New Roman" w:hAnsi="Times New Roman" w:cs="Times New Roman"/>
        </w:rPr>
        <w:t>NS – Neurological Surgery</w:t>
      </w:r>
    </w:p>
    <w:p w14:paraId="2F66CC9C" w14:textId="77777777" w:rsidR="001D002A" w:rsidRDefault="00000000">
      <w:pPr>
        <w:spacing w:line="480" w:lineRule="auto"/>
        <w:rPr>
          <w:rFonts w:ascii="Times New Roman" w:eastAsia="Times New Roman" w:hAnsi="Times New Roman" w:cs="Times New Roman"/>
        </w:rPr>
      </w:pPr>
      <w:r>
        <w:rPr>
          <w:rFonts w:ascii="Times New Roman" w:eastAsia="Times New Roman" w:hAnsi="Times New Roman" w:cs="Times New Roman"/>
        </w:rPr>
        <w:t>USMLE – United States Medical Licensing Examination</w:t>
      </w:r>
    </w:p>
    <w:p w14:paraId="15C43FBC" w14:textId="77777777" w:rsidR="001D002A" w:rsidRDefault="00000000">
      <w:pPr>
        <w:spacing w:line="480" w:lineRule="auto"/>
        <w:rPr>
          <w:rFonts w:ascii="Times New Roman" w:eastAsia="Times New Roman" w:hAnsi="Times New Roman" w:cs="Times New Roman"/>
        </w:rPr>
      </w:pPr>
      <w:r>
        <w:rPr>
          <w:rFonts w:ascii="Times New Roman" w:eastAsia="Times New Roman" w:hAnsi="Times New Roman" w:cs="Times New Roman"/>
        </w:rPr>
        <w:t>RO – Research Output</w:t>
      </w:r>
    </w:p>
    <w:p w14:paraId="24CDD894" w14:textId="77777777" w:rsidR="001D002A" w:rsidRDefault="00000000">
      <w:pPr>
        <w:spacing w:line="480" w:lineRule="auto"/>
        <w:rPr>
          <w:rFonts w:ascii="Times New Roman" w:eastAsia="Times New Roman" w:hAnsi="Times New Roman" w:cs="Times New Roman"/>
        </w:rPr>
      </w:pPr>
      <w:r>
        <w:rPr>
          <w:rFonts w:ascii="Times New Roman" w:eastAsia="Times New Roman" w:hAnsi="Times New Roman" w:cs="Times New Roman"/>
        </w:rPr>
        <w:t>NRMP – National Resident Matching Program</w:t>
      </w:r>
    </w:p>
    <w:p w14:paraId="07FA71F9" w14:textId="77777777" w:rsidR="001D002A" w:rsidRDefault="00000000">
      <w:pPr>
        <w:spacing w:line="480" w:lineRule="auto"/>
        <w:rPr>
          <w:rFonts w:ascii="Times New Roman" w:eastAsia="Times New Roman" w:hAnsi="Times New Roman" w:cs="Times New Roman"/>
        </w:rPr>
      </w:pPr>
      <w:r>
        <w:rPr>
          <w:rFonts w:ascii="Times New Roman" w:eastAsia="Times New Roman" w:hAnsi="Times New Roman" w:cs="Times New Roman"/>
        </w:rPr>
        <w:t>P/F – Pass/Fail</w:t>
      </w:r>
    </w:p>
    <w:p w14:paraId="2DF30685" w14:textId="77777777" w:rsidR="001D002A" w:rsidRDefault="00000000">
      <w:pPr>
        <w:spacing w:line="480" w:lineRule="auto"/>
        <w:rPr>
          <w:rFonts w:ascii="Times New Roman" w:eastAsia="Times New Roman" w:hAnsi="Times New Roman" w:cs="Times New Roman"/>
        </w:rPr>
      </w:pPr>
      <w:r>
        <w:rPr>
          <w:rFonts w:ascii="Times New Roman" w:eastAsia="Times New Roman" w:hAnsi="Times New Roman" w:cs="Times New Roman"/>
        </w:rPr>
        <w:t>IRB – Institutional Review Board</w:t>
      </w:r>
    </w:p>
    <w:p w14:paraId="5F4DE479" w14:textId="77777777" w:rsidR="001D002A" w:rsidRDefault="001D002A">
      <w:pPr>
        <w:spacing w:line="480" w:lineRule="auto"/>
        <w:rPr>
          <w:rFonts w:ascii="Times New Roman" w:eastAsia="Times New Roman" w:hAnsi="Times New Roman" w:cs="Times New Roman"/>
        </w:rPr>
      </w:pPr>
    </w:p>
    <w:p w14:paraId="4A42CCB9" w14:textId="77777777" w:rsidR="001D002A" w:rsidRDefault="001D002A">
      <w:pPr>
        <w:spacing w:line="480" w:lineRule="auto"/>
        <w:rPr>
          <w:rFonts w:ascii="Times New Roman" w:eastAsia="Times New Roman" w:hAnsi="Times New Roman" w:cs="Times New Roman"/>
        </w:rPr>
      </w:pPr>
    </w:p>
    <w:p w14:paraId="7FB4BC14" w14:textId="77777777" w:rsidR="001D002A" w:rsidRDefault="001D002A">
      <w:pPr>
        <w:spacing w:line="480" w:lineRule="auto"/>
        <w:rPr>
          <w:rFonts w:ascii="Times New Roman" w:eastAsia="Times New Roman" w:hAnsi="Times New Roman" w:cs="Times New Roman"/>
        </w:rPr>
      </w:pPr>
    </w:p>
    <w:p w14:paraId="53A05A87" w14:textId="77777777" w:rsidR="001D002A" w:rsidRDefault="001D002A">
      <w:pPr>
        <w:spacing w:line="480" w:lineRule="auto"/>
        <w:ind w:firstLine="720"/>
        <w:rPr>
          <w:rFonts w:ascii="Times New Roman" w:eastAsia="Times New Roman" w:hAnsi="Times New Roman" w:cs="Times New Roman"/>
        </w:rPr>
      </w:pPr>
    </w:p>
    <w:p w14:paraId="49BDD245" w14:textId="77777777" w:rsidR="001D002A" w:rsidRDefault="00000000">
      <w:pPr>
        <w:spacing w:before="240" w:after="240" w:line="480" w:lineRule="auto"/>
        <w:rPr>
          <w:rFonts w:ascii="Times New Roman" w:eastAsia="Times New Roman" w:hAnsi="Times New Roman" w:cs="Times New Roman"/>
          <w:b/>
        </w:rPr>
      </w:pPr>
      <w:r>
        <w:rPr>
          <w:rFonts w:ascii="Times New Roman" w:eastAsia="Times New Roman" w:hAnsi="Times New Roman" w:cs="Times New Roman"/>
          <w:b/>
        </w:rPr>
        <w:lastRenderedPageBreak/>
        <w:t>Abstract</w:t>
      </w:r>
    </w:p>
    <w:p w14:paraId="12388A1E" w14:textId="77777777" w:rsidR="001D002A" w:rsidRDefault="00000000">
      <w:pPr>
        <w:spacing w:before="240" w:after="240" w:line="480" w:lineRule="auto"/>
        <w:rPr>
          <w:rFonts w:ascii="Times New Roman" w:eastAsia="Times New Roman" w:hAnsi="Times New Roman" w:cs="Times New Roman"/>
        </w:rPr>
      </w:pPr>
      <w:r>
        <w:rPr>
          <w:rFonts w:ascii="Times New Roman" w:eastAsia="Times New Roman" w:hAnsi="Times New Roman" w:cs="Times New Roman"/>
          <w:b/>
        </w:rPr>
        <w:t>Background:</w:t>
      </w:r>
      <w:r>
        <w:rPr>
          <w:rFonts w:ascii="Times New Roman" w:eastAsia="Times New Roman" w:hAnsi="Times New Roman" w:cs="Times New Roman"/>
          <w:b/>
        </w:rPr>
        <w:br/>
      </w:r>
      <w:r>
        <w:rPr>
          <w:rFonts w:ascii="Times New Roman" w:eastAsia="Times New Roman" w:hAnsi="Times New Roman" w:cs="Times New Roman"/>
        </w:rPr>
        <w:t xml:space="preserve"> Following the transition of the United States Medical Licensing Examination (USMLE) Step 1 to pass/fail scoring in 2022, medical students and residency programs have shifted greater attention to alternative metrics, such as research output (RO), to evaluate applicant competitiveness. This shift may have unintended consequences for equity and sustainability, particularly in highly competitive specialties like neurological surgery.</w:t>
      </w:r>
    </w:p>
    <w:p w14:paraId="1E176DB4" w14:textId="77777777" w:rsidR="001D002A" w:rsidRDefault="00000000">
      <w:pPr>
        <w:spacing w:before="240" w:after="240" w:line="480" w:lineRule="auto"/>
        <w:rPr>
          <w:rFonts w:ascii="Times New Roman" w:eastAsia="Times New Roman" w:hAnsi="Times New Roman" w:cs="Times New Roman"/>
        </w:rPr>
      </w:pPr>
      <w:r>
        <w:rPr>
          <w:rFonts w:ascii="Times New Roman" w:eastAsia="Times New Roman" w:hAnsi="Times New Roman" w:cs="Times New Roman"/>
          <w:b/>
        </w:rPr>
        <w:t>Objectives:</w:t>
      </w:r>
      <w:r>
        <w:rPr>
          <w:rFonts w:ascii="Times New Roman" w:eastAsia="Times New Roman" w:hAnsi="Times New Roman" w:cs="Times New Roman"/>
          <w:b/>
        </w:rPr>
        <w:br/>
      </w:r>
      <w:r>
        <w:rPr>
          <w:rFonts w:ascii="Times New Roman" w:eastAsia="Times New Roman" w:hAnsi="Times New Roman" w:cs="Times New Roman"/>
        </w:rPr>
        <w:t xml:space="preserve"> To analyze recent trends in research productivity among neurological surgery residency applicants and assess the impact of the USMLE Step 1 scoring change on applicant behavior and systemic pressures.</w:t>
      </w:r>
    </w:p>
    <w:p w14:paraId="03D84CD7" w14:textId="77777777" w:rsidR="001D002A" w:rsidRDefault="00000000">
      <w:pPr>
        <w:spacing w:before="240" w:after="240" w:line="480" w:lineRule="auto"/>
        <w:rPr>
          <w:rFonts w:ascii="Times New Roman" w:eastAsia="Times New Roman" w:hAnsi="Times New Roman" w:cs="Times New Roman"/>
        </w:rPr>
      </w:pPr>
      <w:r>
        <w:rPr>
          <w:rFonts w:ascii="Times New Roman" w:eastAsia="Times New Roman" w:hAnsi="Times New Roman" w:cs="Times New Roman"/>
          <w:b/>
        </w:rPr>
        <w:t>Methods:</w:t>
      </w:r>
      <w:r>
        <w:rPr>
          <w:rFonts w:ascii="Times New Roman" w:eastAsia="Times New Roman" w:hAnsi="Times New Roman" w:cs="Times New Roman"/>
          <w:b/>
        </w:rPr>
        <w:br/>
      </w:r>
      <w:r>
        <w:rPr>
          <w:rFonts w:ascii="Times New Roman" w:eastAsia="Times New Roman" w:hAnsi="Times New Roman" w:cs="Times New Roman"/>
        </w:rPr>
        <w:t xml:space="preserve"> We conducted a retrospective analysis of National Resident Matching Program (NRMP) data from 2014 to 2024. RO was defined as the total number of abstracts, presentations, and publications reported by matched and unmatched U.S. MD applicants to neurological surgery. Percent increases were calculated for each two-year cycle. Findings were contextualized using published literature on match competitiveness, academic integrity, and research equity.</w:t>
      </w:r>
    </w:p>
    <w:p w14:paraId="1C087B4C" w14:textId="77777777" w:rsidR="001D002A" w:rsidRDefault="00000000">
      <w:pPr>
        <w:spacing w:before="240" w:after="240" w:line="480" w:lineRule="auto"/>
        <w:rPr>
          <w:rFonts w:ascii="Times New Roman" w:eastAsia="Times New Roman" w:hAnsi="Times New Roman" w:cs="Times New Roman"/>
        </w:rPr>
      </w:pPr>
      <w:r>
        <w:rPr>
          <w:rFonts w:ascii="Times New Roman" w:eastAsia="Times New Roman" w:hAnsi="Times New Roman" w:cs="Times New Roman"/>
          <w:b/>
        </w:rPr>
        <w:t>Results:</w:t>
      </w:r>
      <w:r>
        <w:rPr>
          <w:rFonts w:ascii="Times New Roman" w:eastAsia="Times New Roman" w:hAnsi="Times New Roman" w:cs="Times New Roman"/>
          <w:b/>
        </w:rPr>
        <w:br/>
      </w:r>
      <w:r>
        <w:rPr>
          <w:rFonts w:ascii="Times New Roman" w:eastAsia="Times New Roman" w:hAnsi="Times New Roman" w:cs="Times New Roman"/>
        </w:rPr>
        <w:t xml:space="preserve"> Between 2022 and 2024—the first application cycle affected </w:t>
      </w:r>
      <w:proofErr w:type="gramStart"/>
      <w:r>
        <w:rPr>
          <w:rFonts w:ascii="Times New Roman" w:eastAsia="Times New Roman" w:hAnsi="Times New Roman" w:cs="Times New Roman"/>
        </w:rPr>
        <w:t>by pass</w:t>
      </w:r>
      <w:proofErr w:type="gramEnd"/>
      <w:r>
        <w:rPr>
          <w:rFonts w:ascii="Times New Roman" w:eastAsia="Times New Roman" w:hAnsi="Times New Roman" w:cs="Times New Roman"/>
        </w:rPr>
        <w:t xml:space="preserve">/fail Step 1 scoring—matched applicants’ average RO increased by 46.7% (from 25.5 to 37.4), while unmatched applicants saw a 171.8% increase (from 11.7 to 31.8). These surges far exceeded the linear growth observed in prior cycles. This escalation raises concerns about the rising use of research </w:t>
      </w:r>
      <w:r>
        <w:rPr>
          <w:rFonts w:ascii="Times New Roman" w:eastAsia="Times New Roman" w:hAnsi="Times New Roman" w:cs="Times New Roman"/>
        </w:rPr>
        <w:lastRenderedPageBreak/>
        <w:t>productivity as a de facto screening tool, potential increases in unethical practices such as unverifiable publications, and growing inequities for students lacking institutional or financial support.</w:t>
      </w:r>
    </w:p>
    <w:p w14:paraId="0C6EC603" w14:textId="77777777" w:rsidR="001D002A" w:rsidRDefault="00000000">
      <w:pPr>
        <w:spacing w:before="240" w:after="240" w:line="480" w:lineRule="auto"/>
        <w:rPr>
          <w:rFonts w:ascii="Times New Roman" w:eastAsia="Times New Roman" w:hAnsi="Times New Roman" w:cs="Times New Roman"/>
        </w:rPr>
      </w:pPr>
      <w:r>
        <w:rPr>
          <w:rFonts w:ascii="Times New Roman" w:eastAsia="Times New Roman" w:hAnsi="Times New Roman" w:cs="Times New Roman"/>
          <w:b/>
        </w:rPr>
        <w:t>Conclusions:</w:t>
      </w:r>
      <w:r>
        <w:rPr>
          <w:rFonts w:ascii="Times New Roman" w:eastAsia="Times New Roman" w:hAnsi="Times New Roman" w:cs="Times New Roman"/>
          <w:b/>
        </w:rPr>
        <w:br/>
      </w:r>
      <w:r>
        <w:rPr>
          <w:rFonts w:ascii="Times New Roman" w:eastAsia="Times New Roman" w:hAnsi="Times New Roman" w:cs="Times New Roman"/>
        </w:rPr>
        <w:t xml:space="preserve"> The elimination of numeric Step 1 scores may have inadvertently intensified pressure on medical students to produce research, exacerbating existing disparities and encouraging unsustainable academic behaviors. Increased transparency around how residency programs evaluate RO, along with safeguards for equity and academic integrity, are urgently needed.</w:t>
      </w:r>
    </w:p>
    <w:p w14:paraId="10AF2BCC" w14:textId="77777777" w:rsidR="001D002A" w:rsidRDefault="001D002A">
      <w:pPr>
        <w:spacing w:line="480" w:lineRule="auto"/>
        <w:rPr>
          <w:rFonts w:ascii="Times New Roman" w:eastAsia="Times New Roman" w:hAnsi="Times New Roman" w:cs="Times New Roman"/>
        </w:rPr>
      </w:pPr>
    </w:p>
    <w:p w14:paraId="2B2FE842" w14:textId="77777777" w:rsidR="001D002A" w:rsidRDefault="001D002A">
      <w:pPr>
        <w:spacing w:line="480" w:lineRule="auto"/>
        <w:ind w:firstLine="720"/>
        <w:rPr>
          <w:rFonts w:ascii="Times New Roman" w:eastAsia="Times New Roman" w:hAnsi="Times New Roman" w:cs="Times New Roman"/>
        </w:rPr>
      </w:pPr>
    </w:p>
    <w:p w14:paraId="67EDF9D3" w14:textId="77777777" w:rsidR="001D002A" w:rsidRDefault="001D002A">
      <w:pPr>
        <w:spacing w:line="480" w:lineRule="auto"/>
        <w:ind w:firstLine="720"/>
        <w:rPr>
          <w:rFonts w:ascii="Times New Roman" w:eastAsia="Times New Roman" w:hAnsi="Times New Roman" w:cs="Times New Roman"/>
        </w:rPr>
      </w:pPr>
    </w:p>
    <w:p w14:paraId="2F96094B" w14:textId="77777777" w:rsidR="001D002A" w:rsidRDefault="001D002A">
      <w:pPr>
        <w:spacing w:line="480" w:lineRule="auto"/>
        <w:ind w:firstLine="720"/>
        <w:rPr>
          <w:rFonts w:ascii="Times New Roman" w:eastAsia="Times New Roman" w:hAnsi="Times New Roman" w:cs="Times New Roman"/>
        </w:rPr>
      </w:pPr>
    </w:p>
    <w:p w14:paraId="29EF3C78" w14:textId="77777777" w:rsidR="001D002A" w:rsidRDefault="001D002A">
      <w:pPr>
        <w:spacing w:line="480" w:lineRule="auto"/>
        <w:ind w:firstLine="720"/>
        <w:rPr>
          <w:rFonts w:ascii="Times New Roman" w:eastAsia="Times New Roman" w:hAnsi="Times New Roman" w:cs="Times New Roman"/>
        </w:rPr>
      </w:pPr>
    </w:p>
    <w:p w14:paraId="59EF803D" w14:textId="77777777" w:rsidR="001D002A" w:rsidRDefault="001D002A">
      <w:pPr>
        <w:spacing w:line="480" w:lineRule="auto"/>
        <w:ind w:firstLine="720"/>
        <w:rPr>
          <w:rFonts w:ascii="Times New Roman" w:eastAsia="Times New Roman" w:hAnsi="Times New Roman" w:cs="Times New Roman"/>
        </w:rPr>
      </w:pPr>
    </w:p>
    <w:p w14:paraId="54178A49" w14:textId="77777777" w:rsidR="001D002A" w:rsidRDefault="001D002A">
      <w:pPr>
        <w:spacing w:line="480" w:lineRule="auto"/>
        <w:ind w:firstLine="720"/>
        <w:rPr>
          <w:rFonts w:ascii="Times New Roman" w:eastAsia="Times New Roman" w:hAnsi="Times New Roman" w:cs="Times New Roman"/>
        </w:rPr>
      </w:pPr>
    </w:p>
    <w:p w14:paraId="26210277" w14:textId="77777777" w:rsidR="001D002A" w:rsidRDefault="001D002A">
      <w:pPr>
        <w:spacing w:line="480" w:lineRule="auto"/>
        <w:ind w:firstLine="720"/>
        <w:rPr>
          <w:rFonts w:ascii="Times New Roman" w:eastAsia="Times New Roman" w:hAnsi="Times New Roman" w:cs="Times New Roman"/>
        </w:rPr>
      </w:pPr>
    </w:p>
    <w:p w14:paraId="5B6850F1" w14:textId="77777777" w:rsidR="001D002A" w:rsidRDefault="001D002A">
      <w:pPr>
        <w:spacing w:line="480" w:lineRule="auto"/>
        <w:ind w:firstLine="720"/>
        <w:rPr>
          <w:rFonts w:ascii="Times New Roman" w:eastAsia="Times New Roman" w:hAnsi="Times New Roman" w:cs="Times New Roman"/>
        </w:rPr>
      </w:pPr>
    </w:p>
    <w:p w14:paraId="4BF612DA" w14:textId="77777777" w:rsidR="001D002A" w:rsidRDefault="001D002A">
      <w:pPr>
        <w:spacing w:line="480" w:lineRule="auto"/>
        <w:ind w:firstLine="720"/>
        <w:rPr>
          <w:rFonts w:ascii="Times New Roman" w:eastAsia="Times New Roman" w:hAnsi="Times New Roman" w:cs="Times New Roman"/>
        </w:rPr>
      </w:pPr>
    </w:p>
    <w:p w14:paraId="3A3E2537" w14:textId="77777777" w:rsidR="001D002A" w:rsidRDefault="001D002A">
      <w:pPr>
        <w:spacing w:line="480" w:lineRule="auto"/>
        <w:ind w:firstLine="720"/>
        <w:rPr>
          <w:rFonts w:ascii="Times New Roman" w:eastAsia="Times New Roman" w:hAnsi="Times New Roman" w:cs="Times New Roman"/>
        </w:rPr>
      </w:pPr>
    </w:p>
    <w:p w14:paraId="7D2677A8" w14:textId="77777777" w:rsidR="001D002A" w:rsidRDefault="001D002A">
      <w:pPr>
        <w:spacing w:line="480" w:lineRule="auto"/>
        <w:ind w:firstLine="720"/>
        <w:rPr>
          <w:rFonts w:ascii="Times New Roman" w:eastAsia="Times New Roman" w:hAnsi="Times New Roman" w:cs="Times New Roman"/>
        </w:rPr>
      </w:pPr>
    </w:p>
    <w:p w14:paraId="47C96F94" w14:textId="77777777" w:rsidR="001D002A" w:rsidRDefault="001D002A">
      <w:pPr>
        <w:spacing w:line="480" w:lineRule="auto"/>
        <w:ind w:firstLine="720"/>
        <w:rPr>
          <w:rFonts w:ascii="Times New Roman" w:eastAsia="Times New Roman" w:hAnsi="Times New Roman" w:cs="Times New Roman"/>
        </w:rPr>
      </w:pPr>
    </w:p>
    <w:p w14:paraId="15CA4ADF" w14:textId="77777777" w:rsidR="001D002A" w:rsidRDefault="001D002A">
      <w:pPr>
        <w:spacing w:line="480" w:lineRule="auto"/>
        <w:ind w:firstLine="720"/>
        <w:rPr>
          <w:rFonts w:ascii="Times New Roman" w:eastAsia="Times New Roman" w:hAnsi="Times New Roman" w:cs="Times New Roman"/>
        </w:rPr>
      </w:pPr>
    </w:p>
    <w:p w14:paraId="2111FFEF" w14:textId="77777777" w:rsidR="00146544" w:rsidRDefault="00146544">
      <w:pPr>
        <w:spacing w:line="480" w:lineRule="auto"/>
        <w:ind w:firstLine="720"/>
        <w:rPr>
          <w:rFonts w:ascii="Times New Roman" w:eastAsia="Times New Roman" w:hAnsi="Times New Roman" w:cs="Times New Roman"/>
        </w:rPr>
      </w:pPr>
    </w:p>
    <w:p w14:paraId="33832650" w14:textId="239FCEAF" w:rsidR="00146544" w:rsidRPr="00146544" w:rsidRDefault="00146544" w:rsidP="00146544">
      <w:pPr>
        <w:spacing w:line="480" w:lineRule="auto"/>
        <w:rPr>
          <w:rFonts w:ascii="Times New Roman" w:eastAsia="Times New Roman" w:hAnsi="Times New Roman" w:cs="Times New Roman"/>
          <w:b/>
          <w:bCs/>
        </w:rPr>
      </w:pPr>
      <w:r w:rsidRPr="00146544">
        <w:rPr>
          <w:rFonts w:ascii="Times New Roman" w:eastAsia="Times New Roman" w:hAnsi="Times New Roman" w:cs="Times New Roman"/>
          <w:b/>
          <w:bCs/>
        </w:rPr>
        <w:lastRenderedPageBreak/>
        <w:t>Introduction</w:t>
      </w:r>
    </w:p>
    <w:p w14:paraId="017C428A" w14:textId="73D72E24" w:rsidR="001D002A" w:rsidRDefault="00000000">
      <w:pPr>
        <w:spacing w:line="480" w:lineRule="auto"/>
        <w:ind w:firstLine="720"/>
        <w:rPr>
          <w:rFonts w:ascii="Times New Roman" w:eastAsia="Times New Roman" w:hAnsi="Times New Roman" w:cs="Times New Roman"/>
        </w:rPr>
      </w:pPr>
      <w:r>
        <w:rPr>
          <w:rFonts w:ascii="Times New Roman" w:eastAsia="Times New Roman" w:hAnsi="Times New Roman" w:cs="Times New Roman"/>
        </w:rPr>
        <w:t>Neurological surgery (NS) is among the most competitive medical specialties, with 331 U.S. MD applicants vying for just 268 positions in the 2025 Match.</w:t>
      </w:r>
      <w:r>
        <w:rPr>
          <w:rFonts w:ascii="Times New Roman" w:eastAsia="Times New Roman" w:hAnsi="Times New Roman" w:cs="Times New Roman"/>
          <w:vertAlign w:val="superscript"/>
        </w:rPr>
        <w:t>1</w:t>
      </w:r>
      <w:r>
        <w:rPr>
          <w:rFonts w:ascii="Times New Roman" w:eastAsia="Times New Roman" w:hAnsi="Times New Roman" w:cs="Times New Roman"/>
        </w:rPr>
        <w:t xml:space="preserve"> Successful applicants often excel in a variety of academic metrics including standardized test scores, clerkship performances, letters of recommendation, and research. Historically, numeric USMLE Step 1 scores were utilized by residency program leadership to screen and assess applicants.</w:t>
      </w:r>
      <w:r>
        <w:rPr>
          <w:rFonts w:ascii="Times New Roman" w:eastAsia="Times New Roman" w:hAnsi="Times New Roman" w:cs="Times New Roman"/>
          <w:vertAlign w:val="superscript"/>
        </w:rPr>
        <w:t>2</w:t>
      </w:r>
      <w:r>
        <w:rPr>
          <w:rFonts w:ascii="Times New Roman" w:eastAsia="Times New Roman" w:hAnsi="Times New Roman" w:cs="Times New Roman"/>
        </w:rPr>
        <w:t xml:space="preserve"> In January 2022, however, Step 1 shifted to a pass/fail (P/F) scoring system, eliminating the ability for residency programs to utilize this score as a screening metric.</w:t>
      </w:r>
      <w:r>
        <w:rPr>
          <w:rFonts w:ascii="Times New Roman" w:eastAsia="Times New Roman" w:hAnsi="Times New Roman" w:cs="Times New Roman"/>
          <w:vertAlign w:val="superscript"/>
        </w:rPr>
        <w:t>3</w:t>
      </w:r>
      <w:r>
        <w:rPr>
          <w:rFonts w:ascii="Times New Roman" w:eastAsia="Times New Roman" w:hAnsi="Times New Roman" w:cs="Times New Roman"/>
        </w:rPr>
        <w:t xml:space="preserve"> This change has led many to speculate that other academic factors, such as research experiences and publications, would grow in importance. This makes the Class of 2025 a critical inflection point for evaluating how various selection criteria may evolve in competitive specialties, such as neurosurgery.</w:t>
      </w:r>
    </w:p>
    <w:p w14:paraId="17114E0D" w14:textId="77777777" w:rsidR="001D002A" w:rsidRDefault="001D002A">
      <w:pPr>
        <w:spacing w:line="480" w:lineRule="auto"/>
        <w:rPr>
          <w:rFonts w:ascii="Times New Roman" w:eastAsia="Times New Roman" w:hAnsi="Times New Roman" w:cs="Times New Roman"/>
        </w:rPr>
      </w:pPr>
    </w:p>
    <w:p w14:paraId="7F1B4FB2" w14:textId="40D4B2A6" w:rsidR="00146544" w:rsidRPr="00146544" w:rsidRDefault="00146544">
      <w:pPr>
        <w:spacing w:line="480" w:lineRule="auto"/>
        <w:rPr>
          <w:rFonts w:ascii="Times New Roman" w:eastAsia="Times New Roman" w:hAnsi="Times New Roman" w:cs="Times New Roman"/>
          <w:b/>
          <w:bCs/>
        </w:rPr>
      </w:pPr>
      <w:r w:rsidRPr="00146544">
        <w:rPr>
          <w:rFonts w:ascii="Times New Roman" w:eastAsia="Times New Roman" w:hAnsi="Times New Roman" w:cs="Times New Roman"/>
          <w:b/>
          <w:bCs/>
        </w:rPr>
        <w:t>Methods</w:t>
      </w:r>
    </w:p>
    <w:p w14:paraId="0DEBF8C2" w14:textId="77777777" w:rsidR="001D002A" w:rsidRDefault="00000000">
      <w:pPr>
        <w:spacing w:line="480" w:lineRule="auto"/>
        <w:ind w:firstLine="720"/>
        <w:rPr>
          <w:rFonts w:ascii="Times New Roman" w:eastAsia="Times New Roman" w:hAnsi="Times New Roman" w:cs="Times New Roman"/>
        </w:rPr>
      </w:pPr>
      <w:r>
        <w:rPr>
          <w:rFonts w:ascii="Times New Roman" w:eastAsia="Times New Roman" w:hAnsi="Times New Roman" w:cs="Times New Roman"/>
        </w:rPr>
        <w:t>Research output (RO) is defined by the NRMP as the sum of abstracts, presentations, and publications, serving as the primary measure of scholarly productivity among applicants. Every two years, the National Resident Matching Program (NRMP) releases a biennial report that outlines various applicant metrics provided to residency programs for each participating specialty for both matched and unmatched applicants, including RO.</w:t>
      </w:r>
      <w:r>
        <w:rPr>
          <w:rFonts w:ascii="Times New Roman" w:eastAsia="Times New Roman" w:hAnsi="Times New Roman" w:cs="Times New Roman"/>
          <w:vertAlign w:val="superscript"/>
        </w:rPr>
        <w:t>4</w:t>
      </w:r>
    </w:p>
    <w:p w14:paraId="30B2D3A7" w14:textId="77777777" w:rsidR="001D002A" w:rsidRDefault="001D002A">
      <w:pPr>
        <w:spacing w:line="480" w:lineRule="auto"/>
        <w:rPr>
          <w:rFonts w:ascii="Times New Roman" w:eastAsia="Times New Roman" w:hAnsi="Times New Roman" w:cs="Times New Roman"/>
        </w:rPr>
      </w:pPr>
    </w:p>
    <w:p w14:paraId="4EAA0728" w14:textId="4D94D9D2" w:rsidR="00146544" w:rsidRPr="00146544" w:rsidRDefault="00146544" w:rsidP="00146544">
      <w:pPr>
        <w:spacing w:line="480" w:lineRule="auto"/>
        <w:rPr>
          <w:rFonts w:ascii="Times New Roman" w:eastAsia="Times New Roman" w:hAnsi="Times New Roman" w:cs="Times New Roman"/>
          <w:b/>
          <w:bCs/>
        </w:rPr>
      </w:pPr>
      <w:r w:rsidRPr="00146544">
        <w:rPr>
          <w:rFonts w:ascii="Times New Roman" w:eastAsia="Times New Roman" w:hAnsi="Times New Roman" w:cs="Times New Roman"/>
          <w:b/>
          <w:bCs/>
        </w:rPr>
        <w:t>Results</w:t>
      </w:r>
    </w:p>
    <w:p w14:paraId="576E6D18" w14:textId="53A5326C" w:rsidR="001D002A" w:rsidRDefault="00000000">
      <w:pPr>
        <w:spacing w:line="480" w:lineRule="auto"/>
        <w:ind w:firstLine="720"/>
        <w:rPr>
          <w:rFonts w:ascii="Times New Roman" w:eastAsia="Times New Roman" w:hAnsi="Times New Roman" w:cs="Times New Roman"/>
        </w:rPr>
      </w:pPr>
      <w:r>
        <w:rPr>
          <w:rFonts w:ascii="Times New Roman" w:eastAsia="Times New Roman" w:hAnsi="Times New Roman" w:cs="Times New Roman"/>
        </w:rPr>
        <w:t>Over the last decade, data from the NRMP has shown RO among successfully matched NS applicants with Step 1 scores has demonstrated positive, linear growth.</w:t>
      </w:r>
      <w:r>
        <w:rPr>
          <w:rFonts w:ascii="Times New Roman" w:eastAsia="Times New Roman" w:hAnsi="Times New Roman" w:cs="Times New Roman"/>
          <w:vertAlign w:val="superscript"/>
        </w:rPr>
        <w:t>4</w:t>
      </w:r>
      <w:r>
        <w:rPr>
          <w:rFonts w:ascii="Times New Roman" w:eastAsia="Times New Roman" w:hAnsi="Times New Roman" w:cs="Times New Roman"/>
        </w:rPr>
        <w:t xml:space="preserve"> On average, RO for this cohort during this time increased by 21.5% during each two-year interval. From 2022 to </w:t>
      </w:r>
      <w:r>
        <w:rPr>
          <w:rFonts w:ascii="Times New Roman" w:eastAsia="Times New Roman" w:hAnsi="Times New Roman" w:cs="Times New Roman"/>
        </w:rPr>
        <w:lastRenderedPageBreak/>
        <w:t>2024, however, RO for successfully matched applicants increased by 46.7% (25.5 to 37.4) (Figure 1</w:t>
      </w:r>
      <w:r w:rsidR="004D46F6">
        <w:rPr>
          <w:rFonts w:ascii="Times New Roman" w:eastAsia="Times New Roman" w:hAnsi="Times New Roman" w:cs="Times New Roman"/>
        </w:rPr>
        <w:t>A</w:t>
      </w:r>
      <w:r>
        <w:rPr>
          <w:rFonts w:ascii="Times New Roman" w:eastAsia="Times New Roman" w:hAnsi="Times New Roman" w:cs="Times New Roman"/>
        </w:rPr>
        <w:t>). Figure 1</w:t>
      </w:r>
      <w:r w:rsidR="004D46F6">
        <w:rPr>
          <w:rFonts w:ascii="Times New Roman" w:eastAsia="Times New Roman" w:hAnsi="Times New Roman" w:cs="Times New Roman"/>
        </w:rPr>
        <w:t>A</w:t>
      </w:r>
      <w:r>
        <w:rPr>
          <w:rFonts w:ascii="Times New Roman" w:eastAsia="Times New Roman" w:hAnsi="Times New Roman" w:cs="Times New Roman"/>
        </w:rPr>
        <w:t xml:space="preserve"> shows this clear trend in RO growth among matched applicants from 2014–2024. This surge diverges significantly from previous growth patterns, signaling a potential shift in how applicants are evaluated. Moreover, RO among unmatched applicants over the past decade remained relatively constant from 2014 to 2022. From 2022 to 2024, however, RO increased from 11.7 to 31.8, representing a 171.8% increase in just two years. Figure </w:t>
      </w:r>
      <w:r w:rsidR="004D46F6">
        <w:rPr>
          <w:rFonts w:ascii="Times New Roman" w:eastAsia="Times New Roman" w:hAnsi="Times New Roman" w:cs="Times New Roman"/>
        </w:rPr>
        <w:t>1B</w:t>
      </w:r>
      <w:r>
        <w:rPr>
          <w:rFonts w:ascii="Times New Roman" w:eastAsia="Times New Roman" w:hAnsi="Times New Roman" w:cs="Times New Roman"/>
        </w:rPr>
        <w:t xml:space="preserve"> further illustrates the accelerating rate of growth in RO since 2016.</w:t>
      </w:r>
    </w:p>
    <w:p w14:paraId="425C157C" w14:textId="77777777" w:rsidR="001D002A" w:rsidRDefault="001D002A">
      <w:pPr>
        <w:spacing w:line="480" w:lineRule="auto"/>
        <w:rPr>
          <w:rFonts w:ascii="Times New Roman" w:eastAsia="Times New Roman" w:hAnsi="Times New Roman" w:cs="Times New Roman"/>
        </w:rPr>
      </w:pPr>
    </w:p>
    <w:p w14:paraId="61B11D85" w14:textId="77777777" w:rsidR="001D002A" w:rsidRDefault="00000000">
      <w:pPr>
        <w:spacing w:line="480" w:lineRule="auto"/>
        <w:ind w:firstLine="720"/>
        <w:rPr>
          <w:rFonts w:ascii="Times New Roman" w:eastAsia="Times New Roman" w:hAnsi="Times New Roman" w:cs="Times New Roman"/>
        </w:rPr>
      </w:pPr>
      <w:r>
        <w:rPr>
          <w:rFonts w:ascii="Times New Roman" w:eastAsia="Times New Roman" w:hAnsi="Times New Roman" w:cs="Times New Roman"/>
        </w:rPr>
        <w:t>This unprecedented spike among both successful and unsuccessful applicants suggests that a novel factor, such as the lack of a Step 1 score, may be responsible for this increase that has exceeded the expected RO based on historical trends. One such explanation may be that NS program directors have shifted the weight placed on Step 1 scores to RO and are now utilizing this metric as a screening tool. An alternative explanation may be that applicants who no longer can distinguish themselves from their peers with Step 1 scores are turning to research to bolster their applications. This theory is supported by the increase in RO seen in both matched and unmatched NS applicants, as 2024 unmatched applicants have 24.7% greater RO than their 2022 matched counterparts. It is likely that this increase in RO was possible due in part by the additional time medical students would have been able to devote to scholarly activities during their preclinical years rather than maximizing their Step 1 scores.</w:t>
      </w:r>
    </w:p>
    <w:p w14:paraId="46730BBE" w14:textId="77777777" w:rsidR="00146544" w:rsidRDefault="00146544">
      <w:pPr>
        <w:spacing w:line="480" w:lineRule="auto"/>
        <w:ind w:firstLine="720"/>
        <w:rPr>
          <w:rFonts w:ascii="Times New Roman" w:eastAsia="Times New Roman" w:hAnsi="Times New Roman" w:cs="Times New Roman"/>
        </w:rPr>
      </w:pPr>
    </w:p>
    <w:p w14:paraId="0FB85DFF" w14:textId="2EF48F5F" w:rsidR="00146544" w:rsidRPr="00146544" w:rsidRDefault="00146544" w:rsidP="00146544">
      <w:pPr>
        <w:spacing w:line="480" w:lineRule="auto"/>
        <w:rPr>
          <w:rFonts w:ascii="Times New Roman" w:eastAsia="Times New Roman" w:hAnsi="Times New Roman" w:cs="Times New Roman"/>
          <w:b/>
          <w:bCs/>
        </w:rPr>
      </w:pPr>
      <w:r w:rsidRPr="00146544">
        <w:rPr>
          <w:rFonts w:ascii="Times New Roman" w:eastAsia="Times New Roman" w:hAnsi="Times New Roman" w:cs="Times New Roman"/>
          <w:b/>
          <w:bCs/>
        </w:rPr>
        <w:t>Discussion</w:t>
      </w:r>
    </w:p>
    <w:p w14:paraId="7200E534" w14:textId="62753B5B" w:rsidR="001D002A" w:rsidRDefault="00000000">
      <w:pPr>
        <w:spacing w:line="480" w:lineRule="auto"/>
        <w:ind w:firstLine="720"/>
        <w:rPr>
          <w:rFonts w:ascii="Times New Roman" w:eastAsia="Times New Roman" w:hAnsi="Times New Roman" w:cs="Times New Roman"/>
        </w:rPr>
      </w:pPr>
      <w:r>
        <w:rPr>
          <w:rFonts w:ascii="Times New Roman" w:eastAsia="Times New Roman" w:hAnsi="Times New Roman" w:cs="Times New Roman"/>
        </w:rPr>
        <w:t xml:space="preserve">While the ability to produce a significantly higher amount of RO may be explained in part by the decreased time spent preparing for Step 1, there is also a concern for potential abuse </w:t>
      </w:r>
      <w:r>
        <w:rPr>
          <w:rFonts w:ascii="Times New Roman" w:eastAsia="Times New Roman" w:hAnsi="Times New Roman" w:cs="Times New Roman"/>
        </w:rPr>
        <w:lastRenderedPageBreak/>
        <w:t>of this system in the form of “ghost publications” where applicants falsely list publications they have authored despite having never done so. For example, at one general surgery residency program, 33% of all publications listed on applications by students were unverifiable.</w:t>
      </w:r>
      <w:r>
        <w:rPr>
          <w:rFonts w:ascii="Times New Roman" w:eastAsia="Times New Roman" w:hAnsi="Times New Roman" w:cs="Times New Roman"/>
          <w:vertAlign w:val="superscript"/>
        </w:rPr>
        <w:t>5</w:t>
      </w:r>
      <w:r>
        <w:rPr>
          <w:rFonts w:ascii="Times New Roman" w:eastAsia="Times New Roman" w:hAnsi="Times New Roman" w:cs="Times New Roman"/>
        </w:rPr>
        <w:t xml:space="preserve"> This raises concern about the current mechanisms used to verify applicant credentials and whether safeguards are adequate in the P/F era. Another questionable practice that may be in play among students wishing to maximize their RO is authorship padding in which a group of students reciprocally list one another as authors on papers to which they did not contribute.</w:t>
      </w:r>
    </w:p>
    <w:p w14:paraId="2765E7F0" w14:textId="77777777" w:rsidR="001D002A" w:rsidRDefault="001D002A">
      <w:pPr>
        <w:spacing w:line="480" w:lineRule="auto"/>
        <w:rPr>
          <w:rFonts w:ascii="Times New Roman" w:eastAsia="Times New Roman" w:hAnsi="Times New Roman" w:cs="Times New Roman"/>
        </w:rPr>
      </w:pPr>
    </w:p>
    <w:p w14:paraId="0B7FB92F" w14:textId="77777777" w:rsidR="001D002A" w:rsidRDefault="00000000">
      <w:pPr>
        <w:spacing w:line="480" w:lineRule="auto"/>
        <w:ind w:firstLine="720"/>
        <w:rPr>
          <w:rFonts w:ascii="Times New Roman" w:eastAsia="Times New Roman" w:hAnsi="Times New Roman" w:cs="Times New Roman"/>
        </w:rPr>
      </w:pPr>
      <w:r>
        <w:rPr>
          <w:rFonts w:ascii="Times New Roman" w:eastAsia="Times New Roman" w:hAnsi="Times New Roman" w:cs="Times New Roman"/>
        </w:rPr>
        <w:t>Others have suggested that the increased pressure placed on students to produce high quantities of research has led to lower-quality publications deemed “research pollution.”</w:t>
      </w:r>
      <w:r>
        <w:rPr>
          <w:rFonts w:ascii="Times New Roman" w:eastAsia="Times New Roman" w:hAnsi="Times New Roman" w:cs="Times New Roman"/>
          <w:vertAlign w:val="superscript"/>
        </w:rPr>
        <w:t>6</w:t>
      </w:r>
      <w:r>
        <w:rPr>
          <w:rFonts w:ascii="Times New Roman" w:eastAsia="Times New Roman" w:hAnsi="Times New Roman" w:cs="Times New Roman"/>
        </w:rPr>
        <w:t xml:space="preserve"> The intense pressure to produce an ever-increasing volume of research, combined with other academic requirements to complete medical school, may contribute to an unsustainable burden on students. This environment may contribute to burnout even before entering residency. This pressure is compounded by the ambiguity in how research is being weighed relative to other application components, leaving students clueless to the optimal strategy to maximize application success. The current trajectory of RO among NS applicants suggests a system that may be reaching a breaking point. Table 1 summarizes the raw RO data and percent change per cycle, further contextualizing the increased trend. </w:t>
      </w:r>
    </w:p>
    <w:p w14:paraId="3DEFEF21" w14:textId="77777777" w:rsidR="001D002A" w:rsidRDefault="001D002A">
      <w:pPr>
        <w:spacing w:line="480" w:lineRule="auto"/>
        <w:rPr>
          <w:rFonts w:ascii="Times New Roman" w:eastAsia="Times New Roman" w:hAnsi="Times New Roman" w:cs="Times New Roman"/>
        </w:rPr>
      </w:pPr>
    </w:p>
    <w:p w14:paraId="38B5A187" w14:textId="77777777" w:rsidR="001D002A" w:rsidRDefault="00000000">
      <w:pPr>
        <w:spacing w:line="480" w:lineRule="auto"/>
        <w:ind w:firstLine="720"/>
        <w:rPr>
          <w:rFonts w:ascii="Times New Roman" w:eastAsia="Times New Roman" w:hAnsi="Times New Roman" w:cs="Times New Roman"/>
        </w:rPr>
      </w:pPr>
      <w:r>
        <w:rPr>
          <w:rFonts w:ascii="Times New Roman" w:eastAsia="Times New Roman" w:hAnsi="Times New Roman" w:cs="Times New Roman"/>
        </w:rPr>
        <w:t xml:space="preserve">Although RO as a metric is helpful for tracking the total number of abstracts, presentations, or publications, it has limitations. Specifically, it does not provide specific insight into where the bulk of this metric may lie. Without transparency into this breakdown, applicants may overemphasize quantity over quality, which may risk diluting the academic rigor of </w:t>
      </w:r>
      <w:r>
        <w:rPr>
          <w:rFonts w:ascii="Times New Roman" w:eastAsia="Times New Roman" w:hAnsi="Times New Roman" w:cs="Times New Roman"/>
        </w:rPr>
        <w:lastRenderedPageBreak/>
        <w:t xml:space="preserve">published work. As a result, it can be difficult to accurately assess if the rise in RO is due to higher rates of abstracts, publications, or presentations. This knowledge is important as it has implications for those wishing to successfully match into NS. If the rise in RO has been due more in part to increased publications, those at institutions that provide better access to open-access funding may be at a distinct advantage. If the rise in RO is due to an increase in conference presentations, those at schools that provide travel stipends or students from families of higher socioeconomic backgrounds will likely benefit. Moreover, the rising pressure to increase RO may force more students to pursue research years before applying to residency </w:t>
      </w:r>
      <w:proofErr w:type="gramStart"/>
      <w:r>
        <w:rPr>
          <w:rFonts w:ascii="Times New Roman" w:eastAsia="Times New Roman" w:hAnsi="Times New Roman" w:cs="Times New Roman"/>
        </w:rPr>
        <w:t>in order to</w:t>
      </w:r>
      <w:proofErr w:type="gramEnd"/>
      <w:r>
        <w:rPr>
          <w:rFonts w:ascii="Times New Roman" w:eastAsia="Times New Roman" w:hAnsi="Times New Roman" w:cs="Times New Roman"/>
        </w:rPr>
        <w:t xml:space="preserve"> build a competitive application. This poses additional challenges as research years often impose financial sacrifices that students must accept by delaying their time to practice by an additional year. In addition to the opportunity cost of time, students may incur significant financial burdens from research experiences, including unpaid research years, travel expenses to present at conferences, and open-access publication fees. These cumulative costs can exceed several thousand dollars per applicant, especially for those undertaking a dedicated research year. These barriers may disproportionately affect students from less privileged backgrounds, further widening the gap in access to competitive specialties.</w:t>
      </w:r>
    </w:p>
    <w:p w14:paraId="2B027809" w14:textId="77777777" w:rsidR="001D002A" w:rsidRDefault="00000000">
      <w:pPr>
        <w:spacing w:line="480" w:lineRule="auto"/>
        <w:ind w:firstLine="720"/>
        <w:rPr>
          <w:rFonts w:ascii="Times New Roman" w:eastAsia="Times New Roman" w:hAnsi="Times New Roman" w:cs="Times New Roman"/>
        </w:rPr>
        <w:sectPr w:rsidR="001D002A">
          <w:headerReference w:type="default" r:id="rId8"/>
          <w:footerReference w:type="default" r:id="rId9"/>
          <w:pgSz w:w="12240" w:h="15840"/>
          <w:pgMar w:top="1440" w:right="1440" w:bottom="1440" w:left="1440" w:header="720" w:footer="720" w:gutter="0"/>
          <w:pgNumType w:start="1"/>
          <w:cols w:space="720"/>
        </w:sectPr>
      </w:pPr>
      <w:r>
        <w:rPr>
          <w:rFonts w:ascii="Times New Roman" w:eastAsia="Times New Roman" w:hAnsi="Times New Roman" w:cs="Times New Roman"/>
        </w:rPr>
        <w:t xml:space="preserve">Table 1 summarizes the raw RO data and percent change per cycle, further contextualizing the increasing trend. Taken together, these findings reflect a shifting standard that places more weight on scholarly </w:t>
      </w:r>
      <w:proofErr w:type="gramStart"/>
      <w:r>
        <w:rPr>
          <w:rFonts w:ascii="Times New Roman" w:eastAsia="Times New Roman" w:hAnsi="Times New Roman" w:cs="Times New Roman"/>
        </w:rPr>
        <w:t>productivity, yet</w:t>
      </w:r>
      <w:proofErr w:type="gramEnd"/>
      <w:r>
        <w:rPr>
          <w:rFonts w:ascii="Times New Roman" w:eastAsia="Times New Roman" w:hAnsi="Times New Roman" w:cs="Times New Roman"/>
        </w:rPr>
        <w:t xml:space="preserve"> lacks transparent benchmarks or equity safeguards.</w:t>
      </w:r>
    </w:p>
    <w:p w14:paraId="18C3A965" w14:textId="77777777" w:rsidR="001D002A" w:rsidRDefault="001D002A">
      <w:pPr>
        <w:spacing w:line="480" w:lineRule="auto"/>
        <w:rPr>
          <w:rFonts w:ascii="Times New Roman" w:eastAsia="Times New Roman" w:hAnsi="Times New Roman" w:cs="Times New Roman"/>
        </w:rPr>
      </w:pPr>
    </w:p>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120"/>
        <w:gridCol w:w="3120"/>
        <w:gridCol w:w="3120"/>
      </w:tblGrid>
      <w:tr w:rsidR="001D002A" w14:paraId="09AAD083" w14:textId="77777777">
        <w:tc>
          <w:tcPr>
            <w:tcW w:w="3120" w:type="dxa"/>
            <w:shd w:val="clear" w:color="auto" w:fill="auto"/>
            <w:tcMar>
              <w:top w:w="100" w:type="dxa"/>
              <w:left w:w="100" w:type="dxa"/>
              <w:bottom w:w="100" w:type="dxa"/>
              <w:right w:w="100" w:type="dxa"/>
            </w:tcMar>
          </w:tcPr>
          <w:p w14:paraId="25463D0B" w14:textId="77777777" w:rsidR="001D002A" w:rsidRDefault="00000000">
            <w:pPr>
              <w:widowControl w:val="0"/>
              <w:spacing w:line="480" w:lineRule="auto"/>
              <w:jc w:val="center"/>
              <w:rPr>
                <w:rFonts w:ascii="Times New Roman" w:eastAsia="Times New Roman" w:hAnsi="Times New Roman" w:cs="Times New Roman"/>
                <w:b/>
              </w:rPr>
            </w:pPr>
            <w:r>
              <w:rPr>
                <w:rFonts w:ascii="Times New Roman" w:eastAsia="Times New Roman" w:hAnsi="Times New Roman" w:cs="Times New Roman"/>
                <w:b/>
              </w:rPr>
              <w:t>Year</w:t>
            </w:r>
          </w:p>
        </w:tc>
        <w:tc>
          <w:tcPr>
            <w:tcW w:w="3120" w:type="dxa"/>
            <w:shd w:val="clear" w:color="auto" w:fill="auto"/>
            <w:tcMar>
              <w:top w:w="100" w:type="dxa"/>
              <w:left w:w="100" w:type="dxa"/>
              <w:bottom w:w="100" w:type="dxa"/>
              <w:right w:w="100" w:type="dxa"/>
            </w:tcMar>
          </w:tcPr>
          <w:p w14:paraId="12A08F10" w14:textId="77777777" w:rsidR="001D002A" w:rsidRDefault="00000000">
            <w:pPr>
              <w:widowControl w:val="0"/>
              <w:spacing w:line="480" w:lineRule="auto"/>
              <w:jc w:val="center"/>
              <w:rPr>
                <w:rFonts w:ascii="Times New Roman" w:eastAsia="Times New Roman" w:hAnsi="Times New Roman" w:cs="Times New Roman"/>
                <w:b/>
              </w:rPr>
            </w:pPr>
            <w:r>
              <w:rPr>
                <w:rFonts w:ascii="Times New Roman" w:eastAsia="Times New Roman" w:hAnsi="Times New Roman" w:cs="Times New Roman"/>
                <w:b/>
              </w:rPr>
              <w:t>Avg. Research Output (Matched)</w:t>
            </w:r>
          </w:p>
        </w:tc>
        <w:tc>
          <w:tcPr>
            <w:tcW w:w="3120" w:type="dxa"/>
            <w:shd w:val="clear" w:color="auto" w:fill="auto"/>
            <w:tcMar>
              <w:top w:w="100" w:type="dxa"/>
              <w:left w:w="100" w:type="dxa"/>
              <w:bottom w:w="100" w:type="dxa"/>
              <w:right w:w="100" w:type="dxa"/>
            </w:tcMar>
          </w:tcPr>
          <w:p w14:paraId="349D17E7" w14:textId="77777777" w:rsidR="001D002A" w:rsidRDefault="00000000">
            <w:pPr>
              <w:widowControl w:val="0"/>
              <w:spacing w:line="480" w:lineRule="auto"/>
              <w:jc w:val="center"/>
              <w:rPr>
                <w:rFonts w:ascii="Times New Roman" w:eastAsia="Times New Roman" w:hAnsi="Times New Roman" w:cs="Times New Roman"/>
                <w:b/>
              </w:rPr>
            </w:pPr>
            <w:r>
              <w:rPr>
                <w:rFonts w:ascii="Times New Roman" w:eastAsia="Times New Roman" w:hAnsi="Times New Roman" w:cs="Times New Roman"/>
                <w:b/>
              </w:rPr>
              <w:t>% Increase from Previous Cycle</w:t>
            </w:r>
          </w:p>
        </w:tc>
      </w:tr>
      <w:tr w:rsidR="001D002A" w14:paraId="62000FE1" w14:textId="77777777">
        <w:tc>
          <w:tcPr>
            <w:tcW w:w="3120" w:type="dxa"/>
            <w:shd w:val="clear" w:color="auto" w:fill="auto"/>
            <w:tcMar>
              <w:top w:w="100" w:type="dxa"/>
              <w:left w:w="100" w:type="dxa"/>
              <w:bottom w:w="100" w:type="dxa"/>
              <w:right w:w="100" w:type="dxa"/>
            </w:tcMar>
          </w:tcPr>
          <w:p w14:paraId="790DF206"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lastRenderedPageBreak/>
              <w:t>2014</w:t>
            </w:r>
          </w:p>
        </w:tc>
        <w:tc>
          <w:tcPr>
            <w:tcW w:w="3120" w:type="dxa"/>
            <w:shd w:val="clear" w:color="auto" w:fill="auto"/>
            <w:tcMar>
              <w:top w:w="100" w:type="dxa"/>
              <w:left w:w="100" w:type="dxa"/>
              <w:bottom w:w="100" w:type="dxa"/>
              <w:right w:w="100" w:type="dxa"/>
            </w:tcMar>
          </w:tcPr>
          <w:p w14:paraId="270AD87A"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11.7</w:t>
            </w:r>
          </w:p>
        </w:tc>
        <w:tc>
          <w:tcPr>
            <w:tcW w:w="3120" w:type="dxa"/>
            <w:shd w:val="clear" w:color="auto" w:fill="auto"/>
            <w:tcMar>
              <w:top w:w="100" w:type="dxa"/>
              <w:left w:w="100" w:type="dxa"/>
              <w:bottom w:w="100" w:type="dxa"/>
              <w:right w:w="100" w:type="dxa"/>
            </w:tcMar>
          </w:tcPr>
          <w:p w14:paraId="661F8361"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w:t>
            </w:r>
          </w:p>
        </w:tc>
      </w:tr>
      <w:tr w:rsidR="001D002A" w14:paraId="55425567" w14:textId="77777777">
        <w:tc>
          <w:tcPr>
            <w:tcW w:w="3120" w:type="dxa"/>
            <w:shd w:val="clear" w:color="auto" w:fill="auto"/>
            <w:tcMar>
              <w:top w:w="100" w:type="dxa"/>
              <w:left w:w="100" w:type="dxa"/>
              <w:bottom w:w="100" w:type="dxa"/>
              <w:right w:w="100" w:type="dxa"/>
            </w:tcMar>
          </w:tcPr>
          <w:p w14:paraId="376E1D4E"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2016</w:t>
            </w:r>
          </w:p>
        </w:tc>
        <w:tc>
          <w:tcPr>
            <w:tcW w:w="3120" w:type="dxa"/>
            <w:shd w:val="clear" w:color="auto" w:fill="auto"/>
            <w:tcMar>
              <w:top w:w="100" w:type="dxa"/>
              <w:left w:w="100" w:type="dxa"/>
              <w:bottom w:w="100" w:type="dxa"/>
              <w:right w:w="100" w:type="dxa"/>
            </w:tcMar>
          </w:tcPr>
          <w:p w14:paraId="166708C3"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13.4</w:t>
            </w:r>
          </w:p>
        </w:tc>
        <w:tc>
          <w:tcPr>
            <w:tcW w:w="3120" w:type="dxa"/>
            <w:shd w:val="clear" w:color="auto" w:fill="auto"/>
            <w:tcMar>
              <w:top w:w="100" w:type="dxa"/>
              <w:left w:w="100" w:type="dxa"/>
              <w:bottom w:w="100" w:type="dxa"/>
              <w:right w:w="100" w:type="dxa"/>
            </w:tcMar>
          </w:tcPr>
          <w:p w14:paraId="09C7E900"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14.5%</w:t>
            </w:r>
          </w:p>
        </w:tc>
      </w:tr>
      <w:tr w:rsidR="001D002A" w14:paraId="19952240" w14:textId="77777777">
        <w:tc>
          <w:tcPr>
            <w:tcW w:w="3120" w:type="dxa"/>
            <w:shd w:val="clear" w:color="auto" w:fill="auto"/>
            <w:tcMar>
              <w:top w:w="100" w:type="dxa"/>
              <w:left w:w="100" w:type="dxa"/>
              <w:bottom w:w="100" w:type="dxa"/>
              <w:right w:w="100" w:type="dxa"/>
            </w:tcMar>
          </w:tcPr>
          <w:p w14:paraId="6CD3374B"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2018</w:t>
            </w:r>
          </w:p>
        </w:tc>
        <w:tc>
          <w:tcPr>
            <w:tcW w:w="3120" w:type="dxa"/>
            <w:shd w:val="clear" w:color="auto" w:fill="auto"/>
            <w:tcMar>
              <w:top w:w="100" w:type="dxa"/>
              <w:left w:w="100" w:type="dxa"/>
              <w:bottom w:w="100" w:type="dxa"/>
              <w:right w:w="100" w:type="dxa"/>
            </w:tcMar>
          </w:tcPr>
          <w:p w14:paraId="7DFD2124"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18.3</w:t>
            </w:r>
          </w:p>
        </w:tc>
        <w:tc>
          <w:tcPr>
            <w:tcW w:w="3120" w:type="dxa"/>
            <w:shd w:val="clear" w:color="auto" w:fill="auto"/>
            <w:tcMar>
              <w:top w:w="100" w:type="dxa"/>
              <w:left w:w="100" w:type="dxa"/>
              <w:bottom w:w="100" w:type="dxa"/>
              <w:right w:w="100" w:type="dxa"/>
            </w:tcMar>
          </w:tcPr>
          <w:p w14:paraId="72ED6DAB"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36.6%</w:t>
            </w:r>
          </w:p>
        </w:tc>
      </w:tr>
      <w:tr w:rsidR="001D002A" w14:paraId="32E1B303" w14:textId="77777777">
        <w:tc>
          <w:tcPr>
            <w:tcW w:w="3120" w:type="dxa"/>
            <w:shd w:val="clear" w:color="auto" w:fill="auto"/>
            <w:tcMar>
              <w:top w:w="100" w:type="dxa"/>
              <w:left w:w="100" w:type="dxa"/>
              <w:bottom w:w="100" w:type="dxa"/>
              <w:right w:w="100" w:type="dxa"/>
            </w:tcMar>
          </w:tcPr>
          <w:p w14:paraId="094F9EBC"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2020</w:t>
            </w:r>
          </w:p>
        </w:tc>
        <w:tc>
          <w:tcPr>
            <w:tcW w:w="3120" w:type="dxa"/>
            <w:shd w:val="clear" w:color="auto" w:fill="auto"/>
            <w:tcMar>
              <w:top w:w="100" w:type="dxa"/>
              <w:left w:w="100" w:type="dxa"/>
              <w:bottom w:w="100" w:type="dxa"/>
              <w:right w:w="100" w:type="dxa"/>
            </w:tcMar>
          </w:tcPr>
          <w:p w14:paraId="4E894F96"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23.4</w:t>
            </w:r>
          </w:p>
        </w:tc>
        <w:tc>
          <w:tcPr>
            <w:tcW w:w="3120" w:type="dxa"/>
            <w:shd w:val="clear" w:color="auto" w:fill="auto"/>
            <w:tcMar>
              <w:top w:w="100" w:type="dxa"/>
              <w:left w:w="100" w:type="dxa"/>
              <w:bottom w:w="100" w:type="dxa"/>
              <w:right w:w="100" w:type="dxa"/>
            </w:tcMar>
          </w:tcPr>
          <w:p w14:paraId="04BF1DAA"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27.9%</w:t>
            </w:r>
          </w:p>
        </w:tc>
      </w:tr>
      <w:tr w:rsidR="001D002A" w14:paraId="63680CD0" w14:textId="77777777">
        <w:tc>
          <w:tcPr>
            <w:tcW w:w="3120" w:type="dxa"/>
            <w:shd w:val="clear" w:color="auto" w:fill="auto"/>
            <w:tcMar>
              <w:top w:w="100" w:type="dxa"/>
              <w:left w:w="100" w:type="dxa"/>
              <w:bottom w:w="100" w:type="dxa"/>
              <w:right w:w="100" w:type="dxa"/>
            </w:tcMar>
          </w:tcPr>
          <w:p w14:paraId="179D5308"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2022</w:t>
            </w:r>
          </w:p>
        </w:tc>
        <w:tc>
          <w:tcPr>
            <w:tcW w:w="3120" w:type="dxa"/>
            <w:shd w:val="clear" w:color="auto" w:fill="auto"/>
            <w:tcMar>
              <w:top w:w="100" w:type="dxa"/>
              <w:left w:w="100" w:type="dxa"/>
              <w:bottom w:w="100" w:type="dxa"/>
              <w:right w:w="100" w:type="dxa"/>
            </w:tcMar>
          </w:tcPr>
          <w:p w14:paraId="098724B0"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25.5</w:t>
            </w:r>
          </w:p>
        </w:tc>
        <w:tc>
          <w:tcPr>
            <w:tcW w:w="3120" w:type="dxa"/>
            <w:shd w:val="clear" w:color="auto" w:fill="auto"/>
            <w:tcMar>
              <w:top w:w="100" w:type="dxa"/>
              <w:left w:w="100" w:type="dxa"/>
              <w:bottom w:w="100" w:type="dxa"/>
              <w:right w:w="100" w:type="dxa"/>
            </w:tcMar>
          </w:tcPr>
          <w:p w14:paraId="2097320E"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9.0%</w:t>
            </w:r>
          </w:p>
        </w:tc>
      </w:tr>
      <w:tr w:rsidR="001D002A" w14:paraId="670266DA" w14:textId="77777777">
        <w:tc>
          <w:tcPr>
            <w:tcW w:w="3120" w:type="dxa"/>
            <w:shd w:val="clear" w:color="auto" w:fill="auto"/>
            <w:tcMar>
              <w:top w:w="100" w:type="dxa"/>
              <w:left w:w="100" w:type="dxa"/>
              <w:bottom w:w="100" w:type="dxa"/>
              <w:right w:w="100" w:type="dxa"/>
            </w:tcMar>
          </w:tcPr>
          <w:p w14:paraId="29C07D94"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2024</w:t>
            </w:r>
          </w:p>
        </w:tc>
        <w:tc>
          <w:tcPr>
            <w:tcW w:w="3120" w:type="dxa"/>
            <w:shd w:val="clear" w:color="auto" w:fill="auto"/>
            <w:tcMar>
              <w:top w:w="100" w:type="dxa"/>
              <w:left w:w="100" w:type="dxa"/>
              <w:bottom w:w="100" w:type="dxa"/>
              <w:right w:w="100" w:type="dxa"/>
            </w:tcMar>
          </w:tcPr>
          <w:p w14:paraId="589E4D76"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37.4</w:t>
            </w:r>
          </w:p>
        </w:tc>
        <w:tc>
          <w:tcPr>
            <w:tcW w:w="3120" w:type="dxa"/>
            <w:shd w:val="clear" w:color="auto" w:fill="auto"/>
            <w:tcMar>
              <w:top w:w="100" w:type="dxa"/>
              <w:left w:w="100" w:type="dxa"/>
              <w:bottom w:w="100" w:type="dxa"/>
              <w:right w:w="100" w:type="dxa"/>
            </w:tcMar>
          </w:tcPr>
          <w:p w14:paraId="4C0E98A2" w14:textId="77777777" w:rsidR="001D002A" w:rsidRDefault="00000000">
            <w:pPr>
              <w:widowControl w:val="0"/>
              <w:spacing w:line="480" w:lineRule="auto"/>
              <w:jc w:val="center"/>
              <w:rPr>
                <w:rFonts w:ascii="Times New Roman" w:eastAsia="Times New Roman" w:hAnsi="Times New Roman" w:cs="Times New Roman"/>
              </w:rPr>
            </w:pPr>
            <w:r>
              <w:rPr>
                <w:rFonts w:ascii="Times New Roman" w:eastAsia="Times New Roman" w:hAnsi="Times New Roman" w:cs="Times New Roman"/>
              </w:rPr>
              <w:t>46.7%</w:t>
            </w:r>
          </w:p>
        </w:tc>
      </w:tr>
    </w:tbl>
    <w:p w14:paraId="62309787" w14:textId="77777777" w:rsidR="001D002A" w:rsidRDefault="001D002A">
      <w:pPr>
        <w:spacing w:line="480" w:lineRule="auto"/>
        <w:jc w:val="center"/>
        <w:rPr>
          <w:rFonts w:ascii="Times New Roman" w:eastAsia="Times New Roman" w:hAnsi="Times New Roman" w:cs="Times New Roman"/>
        </w:rPr>
      </w:pPr>
    </w:p>
    <w:p w14:paraId="7D320A2E" w14:textId="77777777" w:rsidR="001D002A" w:rsidRDefault="00000000">
      <w:pPr>
        <w:spacing w:line="480" w:lineRule="auto"/>
        <w:jc w:val="center"/>
        <w:rPr>
          <w:rFonts w:ascii="Times New Roman" w:eastAsia="Times New Roman" w:hAnsi="Times New Roman" w:cs="Times New Roman"/>
          <w:i/>
        </w:rPr>
      </w:pPr>
      <w:r>
        <w:rPr>
          <w:rFonts w:ascii="Times New Roman" w:eastAsia="Times New Roman" w:hAnsi="Times New Roman" w:cs="Times New Roman"/>
          <w:b/>
          <w:i/>
        </w:rPr>
        <w:t>Table 1</w:t>
      </w:r>
      <w:r>
        <w:rPr>
          <w:rFonts w:ascii="Times New Roman" w:eastAsia="Times New Roman" w:hAnsi="Times New Roman" w:cs="Times New Roman"/>
          <w:i/>
        </w:rPr>
        <w:t>: Research Output and Percent Increase (2014-2024)</w:t>
      </w:r>
    </w:p>
    <w:p w14:paraId="03BD7562" w14:textId="77777777" w:rsidR="001D002A" w:rsidRDefault="001D002A">
      <w:pPr>
        <w:spacing w:line="480" w:lineRule="auto"/>
        <w:jc w:val="center"/>
        <w:rPr>
          <w:rFonts w:ascii="Times New Roman" w:eastAsia="Times New Roman" w:hAnsi="Times New Roman" w:cs="Times New Roman"/>
        </w:rPr>
        <w:sectPr w:rsidR="001D002A">
          <w:type w:val="continuous"/>
          <w:pgSz w:w="12240" w:h="15840"/>
          <w:pgMar w:top="1440" w:right="1440" w:bottom="1440" w:left="1440" w:header="720" w:footer="720" w:gutter="0"/>
          <w:cols w:space="720"/>
        </w:sectPr>
      </w:pPr>
    </w:p>
    <w:p w14:paraId="15F4D18F" w14:textId="527A36D1" w:rsidR="00146544" w:rsidRPr="00146544" w:rsidRDefault="00146544" w:rsidP="00146544">
      <w:pPr>
        <w:spacing w:line="480" w:lineRule="auto"/>
        <w:rPr>
          <w:rFonts w:ascii="Times New Roman" w:eastAsia="Times New Roman" w:hAnsi="Times New Roman" w:cs="Times New Roman"/>
          <w:b/>
          <w:bCs/>
        </w:rPr>
      </w:pPr>
      <w:r w:rsidRPr="00146544">
        <w:rPr>
          <w:rFonts w:ascii="Times New Roman" w:eastAsia="Times New Roman" w:hAnsi="Times New Roman" w:cs="Times New Roman"/>
          <w:b/>
          <w:bCs/>
        </w:rPr>
        <w:t>Conclusion</w:t>
      </w:r>
    </w:p>
    <w:p w14:paraId="164CEF05" w14:textId="772D0A66" w:rsidR="001D002A" w:rsidRDefault="00000000">
      <w:pPr>
        <w:spacing w:line="480" w:lineRule="auto"/>
        <w:ind w:firstLine="720"/>
        <w:rPr>
          <w:rFonts w:ascii="Times New Roman" w:eastAsia="Times New Roman" w:hAnsi="Times New Roman" w:cs="Times New Roman"/>
        </w:rPr>
      </w:pPr>
      <w:r>
        <w:rPr>
          <w:rFonts w:ascii="Times New Roman" w:eastAsia="Times New Roman" w:hAnsi="Times New Roman" w:cs="Times New Roman"/>
        </w:rPr>
        <w:t xml:space="preserve">Additional research is needed to determine how residency leadership evaluates research productivity in the absence of Step 1 scores. Surveys of neurosurgery program directors, along with analysis of actual applicant publication records, could clarify which components of RO matter most and how they influence selection decisions. Such insights would help standardize expectations for applicants and potentially mitigate the unintended consequences of the current arms race in research production. This is especially important as research productivity may now function as a de facto screening metric in place of Step 1 scores. </w:t>
      </w:r>
    </w:p>
    <w:p w14:paraId="207A520F" w14:textId="77777777" w:rsidR="001D002A" w:rsidRDefault="001D002A">
      <w:pPr>
        <w:spacing w:line="480" w:lineRule="auto"/>
        <w:rPr>
          <w:rFonts w:ascii="Times New Roman" w:eastAsia="Times New Roman" w:hAnsi="Times New Roman" w:cs="Times New Roman"/>
        </w:rPr>
      </w:pPr>
    </w:p>
    <w:p w14:paraId="0FAAC89E" w14:textId="77777777" w:rsidR="001D002A" w:rsidRDefault="001D002A">
      <w:pPr>
        <w:spacing w:line="480" w:lineRule="auto"/>
        <w:rPr>
          <w:rFonts w:ascii="Times New Roman" w:eastAsia="Times New Roman" w:hAnsi="Times New Roman" w:cs="Times New Roman"/>
        </w:rPr>
      </w:pPr>
    </w:p>
    <w:p w14:paraId="25DF0D99" w14:textId="77777777" w:rsidR="001D002A" w:rsidRDefault="00000000">
      <w:pPr>
        <w:spacing w:line="480" w:lineRule="auto"/>
        <w:jc w:val="center"/>
        <w:rPr>
          <w:rFonts w:ascii="Times New Roman" w:eastAsia="Times New Roman" w:hAnsi="Times New Roman" w:cs="Times New Roman"/>
        </w:rPr>
      </w:pPr>
      <w:r>
        <w:rPr>
          <w:rFonts w:ascii="Times New Roman" w:eastAsia="Times New Roman" w:hAnsi="Times New Roman" w:cs="Times New Roman"/>
          <w:noProof/>
        </w:rPr>
        <w:lastRenderedPageBreak/>
        <w:drawing>
          <wp:inline distT="0" distB="0" distL="0" distR="0" wp14:anchorId="0995D62D" wp14:editId="544636F1">
            <wp:extent cx="5943600" cy="5057140"/>
            <wp:effectExtent l="0" t="0" r="0" b="0"/>
            <wp:docPr id="683647585" name="image1.png" descr="research_output_corrected_2024.png"/>
            <wp:cNvGraphicFramePr/>
            <a:graphic xmlns:a="http://schemas.openxmlformats.org/drawingml/2006/main">
              <a:graphicData uri="http://schemas.openxmlformats.org/drawingml/2006/picture">
                <pic:pic xmlns:pic="http://schemas.openxmlformats.org/drawingml/2006/picture">
                  <pic:nvPicPr>
                    <pic:cNvPr id="0" name="image1.png" descr="research_output_corrected_2024.png"/>
                    <pic:cNvPicPr preferRelativeResize="0"/>
                  </pic:nvPicPr>
                  <pic:blipFill>
                    <a:blip r:embed="rId10"/>
                    <a:srcRect/>
                    <a:stretch>
                      <a:fillRect/>
                    </a:stretch>
                  </pic:blipFill>
                  <pic:spPr>
                    <a:xfrm>
                      <a:off x="0" y="0"/>
                      <a:ext cx="5943600" cy="5057140"/>
                    </a:xfrm>
                    <a:prstGeom prst="rect">
                      <a:avLst/>
                    </a:prstGeom>
                    <a:ln/>
                  </pic:spPr>
                </pic:pic>
              </a:graphicData>
            </a:graphic>
          </wp:inline>
        </w:drawing>
      </w:r>
    </w:p>
    <w:p w14:paraId="791962E5" w14:textId="77777777" w:rsidR="001D002A" w:rsidRDefault="00000000">
      <w:pPr>
        <w:spacing w:line="480" w:lineRule="auto"/>
        <w:rPr>
          <w:rFonts w:ascii="Times New Roman" w:eastAsia="Times New Roman" w:hAnsi="Times New Roman" w:cs="Times New Roman"/>
          <w:b/>
          <w:i/>
        </w:rPr>
      </w:pPr>
      <w:r>
        <w:rPr>
          <w:rFonts w:ascii="Times New Roman" w:eastAsia="Times New Roman" w:hAnsi="Times New Roman" w:cs="Times New Roman"/>
          <w:b/>
          <w:i/>
        </w:rPr>
        <w:t>Figure 1.</w:t>
      </w:r>
    </w:p>
    <w:p w14:paraId="5DF3F3DC" w14:textId="77777777" w:rsidR="001D002A" w:rsidRDefault="00000000">
      <w:pPr>
        <w:spacing w:line="480" w:lineRule="auto"/>
        <w:rPr>
          <w:rFonts w:ascii="Times New Roman" w:eastAsia="Times New Roman" w:hAnsi="Times New Roman" w:cs="Times New Roman"/>
          <w:i/>
        </w:rPr>
      </w:pPr>
      <w:r>
        <w:rPr>
          <w:rFonts w:ascii="Times New Roman" w:eastAsia="Times New Roman" w:hAnsi="Times New Roman" w:cs="Times New Roman"/>
          <w:b/>
          <w:i/>
        </w:rPr>
        <w:t>A)</w:t>
      </w:r>
      <w:r>
        <w:rPr>
          <w:rFonts w:ascii="Times New Roman" w:eastAsia="Times New Roman" w:hAnsi="Times New Roman" w:cs="Times New Roman"/>
          <w:i/>
        </w:rPr>
        <w:t xml:space="preserve"> Research output among neurological surgery applicants from 2014–2024, measured as the average number of abstracts, presentations, and publications reported by matched and unmatched U.S. MD applicants per NRMP cycle.</w:t>
      </w:r>
    </w:p>
    <w:p w14:paraId="26F62FB2" w14:textId="77777777" w:rsidR="001D002A" w:rsidRDefault="00000000">
      <w:pPr>
        <w:spacing w:line="480" w:lineRule="auto"/>
        <w:rPr>
          <w:rFonts w:ascii="Times New Roman" w:eastAsia="Times New Roman" w:hAnsi="Times New Roman" w:cs="Times New Roman"/>
          <w:i/>
        </w:rPr>
      </w:pPr>
      <w:r>
        <w:rPr>
          <w:rFonts w:ascii="Times New Roman" w:eastAsia="Times New Roman" w:hAnsi="Times New Roman" w:cs="Times New Roman"/>
          <w:b/>
          <w:i/>
        </w:rPr>
        <w:t>B)</w:t>
      </w:r>
      <w:r>
        <w:rPr>
          <w:rFonts w:ascii="Times New Roman" w:eastAsia="Times New Roman" w:hAnsi="Times New Roman" w:cs="Times New Roman"/>
          <w:i/>
        </w:rPr>
        <w:t xml:space="preserve"> Percent increase in research output among matched neurological surgery applicants from 2016–2024, illustrating the acceleration in scholarly activity over recent application cycles.</w:t>
      </w:r>
    </w:p>
    <w:p w14:paraId="63B21CB1" w14:textId="77777777" w:rsidR="00146544" w:rsidRDefault="00146544">
      <w:pPr>
        <w:spacing w:line="480" w:lineRule="auto"/>
        <w:rPr>
          <w:rFonts w:ascii="Times New Roman" w:eastAsia="Times New Roman" w:hAnsi="Times New Roman" w:cs="Times New Roman"/>
          <w:i/>
        </w:rPr>
      </w:pPr>
    </w:p>
    <w:p w14:paraId="7E15055A" w14:textId="77777777" w:rsidR="00146544" w:rsidRDefault="00146544">
      <w:pPr>
        <w:spacing w:line="480" w:lineRule="auto"/>
        <w:rPr>
          <w:rFonts w:ascii="Times New Roman" w:eastAsia="Times New Roman" w:hAnsi="Times New Roman" w:cs="Times New Roman"/>
          <w:i/>
        </w:rPr>
      </w:pPr>
    </w:p>
    <w:p w14:paraId="584E2247" w14:textId="77777777" w:rsidR="00146544" w:rsidRPr="00146544" w:rsidRDefault="00146544" w:rsidP="00146544">
      <w:pPr>
        <w:spacing w:line="480" w:lineRule="auto"/>
        <w:rPr>
          <w:rFonts w:ascii="Times New Roman" w:eastAsia="Times New Roman" w:hAnsi="Times New Roman" w:cs="Times New Roman"/>
          <w:iCs/>
        </w:rPr>
      </w:pPr>
    </w:p>
    <w:p w14:paraId="4885E738" w14:textId="77777777" w:rsidR="00146544" w:rsidRPr="00146544" w:rsidRDefault="00146544" w:rsidP="00146544">
      <w:pPr>
        <w:spacing w:line="480" w:lineRule="auto"/>
        <w:rPr>
          <w:rFonts w:ascii="Times New Roman" w:eastAsia="Times New Roman" w:hAnsi="Times New Roman" w:cs="Times New Roman"/>
          <w:iCs/>
        </w:rPr>
      </w:pPr>
      <w:r w:rsidRPr="00146544">
        <w:rPr>
          <w:rFonts w:ascii="Times New Roman" w:eastAsia="Times New Roman" w:hAnsi="Times New Roman" w:cs="Times New Roman"/>
          <w:b/>
          <w:bCs/>
          <w:iCs/>
        </w:rPr>
        <w:lastRenderedPageBreak/>
        <w:t>Ethical considerations</w:t>
      </w:r>
      <w:r w:rsidRPr="00146544">
        <w:rPr>
          <w:rFonts w:ascii="Times New Roman" w:eastAsia="Times New Roman" w:hAnsi="Times New Roman" w:cs="Times New Roman"/>
          <w:iCs/>
        </w:rPr>
        <w:t>: This study did not involve human subjects research or patient data. All data were derived from publicly available, de-identified datasets and did not require IRB approval.</w:t>
      </w:r>
    </w:p>
    <w:p w14:paraId="54042702" w14:textId="77777777" w:rsidR="00146544" w:rsidRPr="00146544" w:rsidRDefault="00146544" w:rsidP="00146544">
      <w:pPr>
        <w:spacing w:line="480" w:lineRule="auto"/>
        <w:rPr>
          <w:rFonts w:ascii="Times New Roman" w:eastAsia="Times New Roman" w:hAnsi="Times New Roman" w:cs="Times New Roman"/>
          <w:iCs/>
        </w:rPr>
      </w:pPr>
    </w:p>
    <w:p w14:paraId="3E59657F" w14:textId="77777777" w:rsidR="00146544" w:rsidRPr="00146544" w:rsidRDefault="00146544" w:rsidP="00146544">
      <w:pPr>
        <w:spacing w:line="480" w:lineRule="auto"/>
        <w:rPr>
          <w:rFonts w:ascii="Times New Roman" w:eastAsia="Times New Roman" w:hAnsi="Times New Roman" w:cs="Times New Roman"/>
          <w:iCs/>
        </w:rPr>
      </w:pPr>
      <w:r w:rsidRPr="00146544">
        <w:rPr>
          <w:rFonts w:ascii="Times New Roman" w:eastAsia="Times New Roman" w:hAnsi="Times New Roman" w:cs="Times New Roman"/>
          <w:b/>
          <w:bCs/>
          <w:iCs/>
        </w:rPr>
        <w:t>Consent to participate</w:t>
      </w:r>
      <w:r w:rsidRPr="00146544">
        <w:rPr>
          <w:rFonts w:ascii="Times New Roman" w:eastAsia="Times New Roman" w:hAnsi="Times New Roman" w:cs="Times New Roman"/>
          <w:iCs/>
        </w:rPr>
        <w:t>: Not applicable.</w:t>
      </w:r>
    </w:p>
    <w:p w14:paraId="069796F3" w14:textId="77777777" w:rsidR="00146544" w:rsidRPr="00146544" w:rsidRDefault="00146544" w:rsidP="00146544">
      <w:pPr>
        <w:spacing w:line="480" w:lineRule="auto"/>
        <w:rPr>
          <w:rFonts w:ascii="Times New Roman" w:eastAsia="Times New Roman" w:hAnsi="Times New Roman" w:cs="Times New Roman"/>
          <w:iCs/>
        </w:rPr>
      </w:pPr>
    </w:p>
    <w:p w14:paraId="0086ABA4" w14:textId="77777777" w:rsidR="00146544" w:rsidRPr="00146544" w:rsidRDefault="00146544" w:rsidP="00146544">
      <w:pPr>
        <w:spacing w:line="480" w:lineRule="auto"/>
        <w:rPr>
          <w:rFonts w:ascii="Times New Roman" w:eastAsia="Times New Roman" w:hAnsi="Times New Roman" w:cs="Times New Roman"/>
          <w:iCs/>
        </w:rPr>
      </w:pPr>
      <w:r w:rsidRPr="00146544">
        <w:rPr>
          <w:rFonts w:ascii="Times New Roman" w:eastAsia="Times New Roman" w:hAnsi="Times New Roman" w:cs="Times New Roman"/>
          <w:b/>
          <w:bCs/>
          <w:iCs/>
        </w:rPr>
        <w:t>Consent for publication</w:t>
      </w:r>
      <w:r w:rsidRPr="00146544">
        <w:rPr>
          <w:rFonts w:ascii="Times New Roman" w:eastAsia="Times New Roman" w:hAnsi="Times New Roman" w:cs="Times New Roman"/>
          <w:iCs/>
        </w:rPr>
        <w:t>: Not applicable.</w:t>
      </w:r>
    </w:p>
    <w:p w14:paraId="4973715E" w14:textId="77777777" w:rsidR="00146544" w:rsidRPr="00146544" w:rsidRDefault="00146544" w:rsidP="00146544">
      <w:pPr>
        <w:spacing w:line="480" w:lineRule="auto"/>
        <w:rPr>
          <w:rFonts w:ascii="Times New Roman" w:eastAsia="Times New Roman" w:hAnsi="Times New Roman" w:cs="Times New Roman"/>
          <w:iCs/>
        </w:rPr>
      </w:pPr>
    </w:p>
    <w:p w14:paraId="6CD1053A" w14:textId="77777777" w:rsidR="00146544" w:rsidRPr="00146544" w:rsidRDefault="00146544" w:rsidP="00146544">
      <w:pPr>
        <w:spacing w:line="480" w:lineRule="auto"/>
        <w:rPr>
          <w:rFonts w:ascii="Times New Roman" w:eastAsia="Times New Roman" w:hAnsi="Times New Roman" w:cs="Times New Roman"/>
          <w:iCs/>
        </w:rPr>
      </w:pPr>
      <w:r w:rsidRPr="00146544">
        <w:rPr>
          <w:rFonts w:ascii="Times New Roman" w:eastAsia="Times New Roman" w:hAnsi="Times New Roman" w:cs="Times New Roman"/>
          <w:b/>
          <w:bCs/>
          <w:iCs/>
        </w:rPr>
        <w:t>Competing interests</w:t>
      </w:r>
      <w:r w:rsidRPr="00146544">
        <w:rPr>
          <w:rFonts w:ascii="Times New Roman" w:eastAsia="Times New Roman" w:hAnsi="Times New Roman" w:cs="Times New Roman"/>
          <w:iCs/>
        </w:rPr>
        <w:t>: The authors declare no potential conflicts of interest with respect to the research, authorship, and/or publication of this article.</w:t>
      </w:r>
    </w:p>
    <w:p w14:paraId="29C284D2" w14:textId="77777777" w:rsidR="00146544" w:rsidRPr="00146544" w:rsidRDefault="00146544" w:rsidP="00146544">
      <w:pPr>
        <w:spacing w:line="480" w:lineRule="auto"/>
        <w:rPr>
          <w:rFonts w:ascii="Times New Roman" w:eastAsia="Times New Roman" w:hAnsi="Times New Roman" w:cs="Times New Roman"/>
          <w:iCs/>
        </w:rPr>
      </w:pPr>
    </w:p>
    <w:p w14:paraId="266E44C8" w14:textId="77777777" w:rsidR="00146544" w:rsidRPr="00146544" w:rsidRDefault="00146544" w:rsidP="00146544">
      <w:pPr>
        <w:spacing w:line="480" w:lineRule="auto"/>
        <w:rPr>
          <w:rFonts w:ascii="Times New Roman" w:eastAsia="Times New Roman" w:hAnsi="Times New Roman" w:cs="Times New Roman"/>
          <w:iCs/>
        </w:rPr>
      </w:pPr>
      <w:r w:rsidRPr="00146544">
        <w:rPr>
          <w:rFonts w:ascii="Times New Roman" w:eastAsia="Times New Roman" w:hAnsi="Times New Roman" w:cs="Times New Roman"/>
          <w:b/>
          <w:bCs/>
          <w:iCs/>
        </w:rPr>
        <w:t>Funding</w:t>
      </w:r>
      <w:r w:rsidRPr="00146544">
        <w:rPr>
          <w:rFonts w:ascii="Times New Roman" w:eastAsia="Times New Roman" w:hAnsi="Times New Roman" w:cs="Times New Roman"/>
          <w:iCs/>
        </w:rPr>
        <w:t>: The authors received no financial support for the research, authorship, and/or publication of this article.</w:t>
      </w:r>
    </w:p>
    <w:p w14:paraId="6F5173FC" w14:textId="77777777" w:rsidR="00146544" w:rsidRPr="00146544" w:rsidRDefault="00146544" w:rsidP="00146544">
      <w:pPr>
        <w:spacing w:line="480" w:lineRule="auto"/>
        <w:rPr>
          <w:rFonts w:ascii="Times New Roman" w:eastAsia="Times New Roman" w:hAnsi="Times New Roman" w:cs="Times New Roman"/>
          <w:iCs/>
        </w:rPr>
      </w:pPr>
    </w:p>
    <w:p w14:paraId="7EA46133" w14:textId="77777777" w:rsidR="00146544" w:rsidRDefault="00146544" w:rsidP="00146544">
      <w:pPr>
        <w:spacing w:line="480" w:lineRule="auto"/>
        <w:rPr>
          <w:rFonts w:ascii="Times New Roman" w:eastAsia="Times New Roman" w:hAnsi="Times New Roman" w:cs="Times New Roman"/>
          <w:iCs/>
        </w:rPr>
      </w:pPr>
      <w:r w:rsidRPr="00146544">
        <w:rPr>
          <w:rFonts w:ascii="Times New Roman" w:eastAsia="Times New Roman" w:hAnsi="Times New Roman" w:cs="Times New Roman"/>
          <w:b/>
          <w:bCs/>
          <w:iCs/>
        </w:rPr>
        <w:t>Data availability</w:t>
      </w:r>
      <w:r w:rsidRPr="00146544">
        <w:rPr>
          <w:rFonts w:ascii="Times New Roman" w:eastAsia="Times New Roman" w:hAnsi="Times New Roman" w:cs="Times New Roman"/>
          <w:iCs/>
        </w:rPr>
        <w:t>: All data used in this study are publicly available via the National Resident Matching Program (https://www.nrmp.org/).</w:t>
      </w:r>
    </w:p>
    <w:p w14:paraId="4B5CFC9C" w14:textId="77777777" w:rsidR="00146544" w:rsidRDefault="00146544" w:rsidP="00146544">
      <w:pPr>
        <w:spacing w:line="480" w:lineRule="auto"/>
        <w:rPr>
          <w:rFonts w:ascii="Times New Roman" w:eastAsia="Times New Roman" w:hAnsi="Times New Roman" w:cs="Times New Roman"/>
          <w:iCs/>
        </w:rPr>
      </w:pPr>
    </w:p>
    <w:p w14:paraId="39E3F943" w14:textId="3B0509FD" w:rsidR="00146544" w:rsidRPr="00146544" w:rsidRDefault="00146544" w:rsidP="00146544">
      <w:pPr>
        <w:spacing w:line="480" w:lineRule="auto"/>
        <w:rPr>
          <w:rFonts w:ascii="Times New Roman" w:eastAsia="Times New Roman" w:hAnsi="Times New Roman" w:cs="Times New Roman"/>
          <w:iCs/>
        </w:rPr>
      </w:pPr>
      <w:r w:rsidRPr="00146544">
        <w:rPr>
          <w:rFonts w:ascii="Times New Roman" w:eastAsia="Times New Roman" w:hAnsi="Times New Roman" w:cs="Times New Roman"/>
          <w:b/>
          <w:bCs/>
          <w:iCs/>
        </w:rPr>
        <w:t>Author Contributions</w:t>
      </w:r>
      <w:r w:rsidRPr="00146544">
        <w:rPr>
          <w:rFonts w:ascii="Times New Roman" w:eastAsia="Times New Roman" w:hAnsi="Times New Roman" w:cs="Times New Roman"/>
          <w:iCs/>
        </w:rPr>
        <w:t>:</w:t>
      </w:r>
    </w:p>
    <w:p w14:paraId="79DE5355" w14:textId="77777777" w:rsidR="00146544" w:rsidRPr="00146544" w:rsidRDefault="00146544" w:rsidP="00146544">
      <w:pPr>
        <w:spacing w:line="480" w:lineRule="auto"/>
        <w:rPr>
          <w:rFonts w:ascii="Times New Roman" w:eastAsia="Times New Roman" w:hAnsi="Times New Roman" w:cs="Times New Roman"/>
          <w:iCs/>
        </w:rPr>
      </w:pPr>
      <w:r w:rsidRPr="00146544">
        <w:rPr>
          <w:rFonts w:ascii="Times New Roman" w:eastAsia="Times New Roman" w:hAnsi="Times New Roman" w:cs="Times New Roman"/>
          <w:iCs/>
        </w:rPr>
        <w:t xml:space="preserve">Conceptualization: James R. Burmeister, Lauren L. </w:t>
      </w:r>
      <w:proofErr w:type="spellStart"/>
      <w:r w:rsidRPr="00146544">
        <w:rPr>
          <w:rFonts w:ascii="Times New Roman" w:eastAsia="Times New Roman" w:hAnsi="Times New Roman" w:cs="Times New Roman"/>
          <w:iCs/>
        </w:rPr>
        <w:t>Walkon</w:t>
      </w:r>
      <w:proofErr w:type="spellEnd"/>
      <w:r w:rsidRPr="00146544">
        <w:rPr>
          <w:rFonts w:ascii="Times New Roman" w:eastAsia="Times New Roman" w:hAnsi="Times New Roman" w:cs="Times New Roman"/>
          <w:iCs/>
        </w:rPr>
        <w:t xml:space="preserve">  </w:t>
      </w:r>
    </w:p>
    <w:p w14:paraId="612FD578" w14:textId="77777777" w:rsidR="00146544" w:rsidRPr="00146544" w:rsidRDefault="00146544" w:rsidP="00146544">
      <w:pPr>
        <w:spacing w:line="480" w:lineRule="auto"/>
        <w:rPr>
          <w:rFonts w:ascii="Times New Roman" w:eastAsia="Times New Roman" w:hAnsi="Times New Roman" w:cs="Times New Roman"/>
          <w:iCs/>
        </w:rPr>
      </w:pPr>
      <w:r w:rsidRPr="00146544">
        <w:rPr>
          <w:rFonts w:ascii="Times New Roman" w:eastAsia="Times New Roman" w:hAnsi="Times New Roman" w:cs="Times New Roman"/>
          <w:iCs/>
        </w:rPr>
        <w:t xml:space="preserve">Data curation: Forrest Bohler, Ismail </w:t>
      </w:r>
      <w:proofErr w:type="spellStart"/>
      <w:r w:rsidRPr="00146544">
        <w:rPr>
          <w:rFonts w:ascii="Times New Roman" w:eastAsia="Times New Roman" w:hAnsi="Times New Roman" w:cs="Times New Roman"/>
          <w:iCs/>
        </w:rPr>
        <w:t>Zazay</w:t>
      </w:r>
      <w:proofErr w:type="spellEnd"/>
      <w:r w:rsidRPr="00146544">
        <w:rPr>
          <w:rFonts w:ascii="Times New Roman" w:eastAsia="Times New Roman" w:hAnsi="Times New Roman" w:cs="Times New Roman"/>
          <w:iCs/>
        </w:rPr>
        <w:t xml:space="preserve">  </w:t>
      </w:r>
    </w:p>
    <w:p w14:paraId="031D4486" w14:textId="77777777" w:rsidR="00146544" w:rsidRPr="00146544" w:rsidRDefault="00146544" w:rsidP="00146544">
      <w:pPr>
        <w:spacing w:line="480" w:lineRule="auto"/>
        <w:rPr>
          <w:rFonts w:ascii="Times New Roman" w:eastAsia="Times New Roman" w:hAnsi="Times New Roman" w:cs="Times New Roman"/>
          <w:iCs/>
        </w:rPr>
      </w:pPr>
      <w:r w:rsidRPr="00146544">
        <w:rPr>
          <w:rFonts w:ascii="Times New Roman" w:eastAsia="Times New Roman" w:hAnsi="Times New Roman" w:cs="Times New Roman"/>
          <w:iCs/>
        </w:rPr>
        <w:t xml:space="preserve">Formal analysis: Ismail </w:t>
      </w:r>
      <w:proofErr w:type="spellStart"/>
      <w:r w:rsidRPr="00146544">
        <w:rPr>
          <w:rFonts w:ascii="Times New Roman" w:eastAsia="Times New Roman" w:hAnsi="Times New Roman" w:cs="Times New Roman"/>
          <w:iCs/>
        </w:rPr>
        <w:t>Zazay</w:t>
      </w:r>
      <w:proofErr w:type="spellEnd"/>
      <w:r w:rsidRPr="00146544">
        <w:rPr>
          <w:rFonts w:ascii="Times New Roman" w:eastAsia="Times New Roman" w:hAnsi="Times New Roman" w:cs="Times New Roman"/>
          <w:iCs/>
        </w:rPr>
        <w:t xml:space="preserve">, James R. Burmeister  </w:t>
      </w:r>
    </w:p>
    <w:p w14:paraId="14DA79B0" w14:textId="77777777" w:rsidR="00146544" w:rsidRPr="00146544" w:rsidRDefault="00146544" w:rsidP="00146544">
      <w:pPr>
        <w:spacing w:line="480" w:lineRule="auto"/>
        <w:rPr>
          <w:rFonts w:ascii="Times New Roman" w:eastAsia="Times New Roman" w:hAnsi="Times New Roman" w:cs="Times New Roman"/>
          <w:iCs/>
        </w:rPr>
      </w:pPr>
      <w:r w:rsidRPr="00146544">
        <w:rPr>
          <w:rFonts w:ascii="Times New Roman" w:eastAsia="Times New Roman" w:hAnsi="Times New Roman" w:cs="Times New Roman"/>
          <w:iCs/>
        </w:rPr>
        <w:t xml:space="preserve">Writing – original draft: James R. Burmeister, Ismail </w:t>
      </w:r>
      <w:proofErr w:type="spellStart"/>
      <w:r w:rsidRPr="00146544">
        <w:rPr>
          <w:rFonts w:ascii="Times New Roman" w:eastAsia="Times New Roman" w:hAnsi="Times New Roman" w:cs="Times New Roman"/>
          <w:iCs/>
        </w:rPr>
        <w:t>Zazay</w:t>
      </w:r>
      <w:proofErr w:type="spellEnd"/>
      <w:r w:rsidRPr="00146544">
        <w:rPr>
          <w:rFonts w:ascii="Times New Roman" w:eastAsia="Times New Roman" w:hAnsi="Times New Roman" w:cs="Times New Roman"/>
          <w:iCs/>
        </w:rPr>
        <w:t xml:space="preserve">  </w:t>
      </w:r>
    </w:p>
    <w:p w14:paraId="1C7B007A" w14:textId="77777777" w:rsidR="00146544" w:rsidRPr="00146544" w:rsidRDefault="00146544" w:rsidP="00146544">
      <w:pPr>
        <w:spacing w:line="480" w:lineRule="auto"/>
        <w:rPr>
          <w:rFonts w:ascii="Times New Roman" w:eastAsia="Times New Roman" w:hAnsi="Times New Roman" w:cs="Times New Roman"/>
          <w:iCs/>
        </w:rPr>
      </w:pPr>
      <w:r w:rsidRPr="00146544">
        <w:rPr>
          <w:rFonts w:ascii="Times New Roman" w:eastAsia="Times New Roman" w:hAnsi="Times New Roman" w:cs="Times New Roman"/>
          <w:iCs/>
        </w:rPr>
        <w:t xml:space="preserve">Writing – review &amp; editing: All authors  </w:t>
      </w:r>
    </w:p>
    <w:p w14:paraId="72DF24BF" w14:textId="35CE00E4" w:rsidR="00146544" w:rsidRPr="00146544" w:rsidRDefault="00146544" w:rsidP="00146544">
      <w:pPr>
        <w:spacing w:line="480" w:lineRule="auto"/>
        <w:rPr>
          <w:rFonts w:ascii="Times New Roman" w:eastAsia="Times New Roman" w:hAnsi="Times New Roman" w:cs="Times New Roman"/>
          <w:iCs/>
        </w:rPr>
        <w:sectPr w:rsidR="00146544" w:rsidRPr="00146544">
          <w:type w:val="continuous"/>
          <w:pgSz w:w="12240" w:h="15840"/>
          <w:pgMar w:top="1440" w:right="1440" w:bottom="1440" w:left="1440" w:header="720" w:footer="720" w:gutter="0"/>
          <w:cols w:space="720"/>
        </w:sectPr>
      </w:pPr>
      <w:r w:rsidRPr="00146544">
        <w:rPr>
          <w:rFonts w:ascii="Times New Roman" w:eastAsia="Times New Roman" w:hAnsi="Times New Roman" w:cs="Times New Roman"/>
          <w:iCs/>
        </w:rPr>
        <w:lastRenderedPageBreak/>
        <w:t>Supervision: Cesar A. Serrano-Almeida</w:t>
      </w:r>
    </w:p>
    <w:p w14:paraId="7591ADD1" w14:textId="77777777" w:rsidR="001D002A" w:rsidRDefault="001D002A">
      <w:pPr>
        <w:spacing w:line="480" w:lineRule="auto"/>
        <w:rPr>
          <w:rFonts w:ascii="Times New Roman" w:eastAsia="Times New Roman" w:hAnsi="Times New Roman" w:cs="Times New Roman"/>
        </w:rPr>
        <w:sectPr w:rsidR="001D002A">
          <w:type w:val="continuous"/>
          <w:pgSz w:w="12240" w:h="15840"/>
          <w:pgMar w:top="1440" w:right="1440" w:bottom="1440" w:left="1440" w:header="720" w:footer="720" w:gutter="0"/>
          <w:cols w:space="720"/>
        </w:sectPr>
      </w:pPr>
    </w:p>
    <w:p w14:paraId="70C6237C" w14:textId="77777777" w:rsidR="001D002A" w:rsidRDefault="001D002A">
      <w:pPr>
        <w:spacing w:line="480" w:lineRule="auto"/>
        <w:rPr>
          <w:rFonts w:ascii="Times New Roman" w:eastAsia="Times New Roman" w:hAnsi="Times New Roman" w:cs="Times New Roman"/>
          <w:b/>
        </w:rPr>
      </w:pPr>
    </w:p>
    <w:p w14:paraId="7C4C2FEC" w14:textId="77777777" w:rsidR="001D002A" w:rsidRDefault="001D002A">
      <w:pPr>
        <w:spacing w:line="480" w:lineRule="auto"/>
        <w:rPr>
          <w:rFonts w:ascii="Times New Roman" w:eastAsia="Times New Roman" w:hAnsi="Times New Roman" w:cs="Times New Roman"/>
          <w:b/>
        </w:rPr>
      </w:pPr>
    </w:p>
    <w:p w14:paraId="53E691DE" w14:textId="77777777" w:rsidR="00146544" w:rsidRDefault="00146544">
      <w:pPr>
        <w:spacing w:line="480" w:lineRule="auto"/>
        <w:rPr>
          <w:rFonts w:ascii="Times New Roman" w:eastAsia="Times New Roman" w:hAnsi="Times New Roman" w:cs="Times New Roman"/>
          <w:b/>
        </w:rPr>
      </w:pPr>
    </w:p>
    <w:p w14:paraId="1C8E7EE5" w14:textId="77777777" w:rsidR="00146544" w:rsidRDefault="00146544">
      <w:pPr>
        <w:spacing w:line="480" w:lineRule="auto"/>
        <w:rPr>
          <w:rFonts w:ascii="Times New Roman" w:eastAsia="Times New Roman" w:hAnsi="Times New Roman" w:cs="Times New Roman"/>
          <w:b/>
        </w:rPr>
      </w:pPr>
    </w:p>
    <w:p w14:paraId="16E7D1BA" w14:textId="77777777" w:rsidR="00146544" w:rsidRDefault="00146544">
      <w:pPr>
        <w:spacing w:line="480" w:lineRule="auto"/>
        <w:rPr>
          <w:rFonts w:ascii="Times New Roman" w:eastAsia="Times New Roman" w:hAnsi="Times New Roman" w:cs="Times New Roman"/>
          <w:b/>
        </w:rPr>
      </w:pPr>
    </w:p>
    <w:p w14:paraId="333957D1" w14:textId="77777777" w:rsidR="00146544" w:rsidRDefault="00146544">
      <w:pPr>
        <w:spacing w:line="480" w:lineRule="auto"/>
        <w:rPr>
          <w:rFonts w:ascii="Times New Roman" w:eastAsia="Times New Roman" w:hAnsi="Times New Roman" w:cs="Times New Roman"/>
          <w:b/>
        </w:rPr>
      </w:pPr>
    </w:p>
    <w:p w14:paraId="30072956" w14:textId="77777777" w:rsidR="00146544" w:rsidRDefault="00146544">
      <w:pPr>
        <w:spacing w:line="480" w:lineRule="auto"/>
        <w:rPr>
          <w:rFonts w:ascii="Times New Roman" w:eastAsia="Times New Roman" w:hAnsi="Times New Roman" w:cs="Times New Roman"/>
          <w:b/>
        </w:rPr>
      </w:pPr>
    </w:p>
    <w:p w14:paraId="5C0569AB" w14:textId="77777777" w:rsidR="00146544" w:rsidRDefault="00146544">
      <w:pPr>
        <w:spacing w:line="480" w:lineRule="auto"/>
        <w:rPr>
          <w:rFonts w:ascii="Times New Roman" w:eastAsia="Times New Roman" w:hAnsi="Times New Roman" w:cs="Times New Roman"/>
          <w:b/>
        </w:rPr>
      </w:pPr>
    </w:p>
    <w:p w14:paraId="47A349F9" w14:textId="77777777" w:rsidR="00146544" w:rsidRDefault="00146544">
      <w:pPr>
        <w:spacing w:line="480" w:lineRule="auto"/>
        <w:rPr>
          <w:rFonts w:ascii="Times New Roman" w:eastAsia="Times New Roman" w:hAnsi="Times New Roman" w:cs="Times New Roman"/>
          <w:b/>
        </w:rPr>
      </w:pPr>
    </w:p>
    <w:p w14:paraId="32E5D9ED" w14:textId="77777777" w:rsidR="00146544" w:rsidRDefault="00146544">
      <w:pPr>
        <w:spacing w:line="480" w:lineRule="auto"/>
        <w:rPr>
          <w:rFonts w:ascii="Times New Roman" w:eastAsia="Times New Roman" w:hAnsi="Times New Roman" w:cs="Times New Roman"/>
          <w:b/>
        </w:rPr>
      </w:pPr>
    </w:p>
    <w:p w14:paraId="389BCE98" w14:textId="77777777" w:rsidR="00146544" w:rsidRDefault="00146544">
      <w:pPr>
        <w:spacing w:line="480" w:lineRule="auto"/>
        <w:rPr>
          <w:rFonts w:ascii="Times New Roman" w:eastAsia="Times New Roman" w:hAnsi="Times New Roman" w:cs="Times New Roman"/>
          <w:b/>
        </w:rPr>
      </w:pPr>
    </w:p>
    <w:p w14:paraId="691E10FA" w14:textId="77777777" w:rsidR="00146544" w:rsidRDefault="00146544">
      <w:pPr>
        <w:spacing w:line="480" w:lineRule="auto"/>
        <w:rPr>
          <w:rFonts w:ascii="Times New Roman" w:eastAsia="Times New Roman" w:hAnsi="Times New Roman" w:cs="Times New Roman"/>
          <w:b/>
        </w:rPr>
      </w:pPr>
    </w:p>
    <w:p w14:paraId="222FFD1B" w14:textId="77777777" w:rsidR="00146544" w:rsidRDefault="00146544">
      <w:pPr>
        <w:spacing w:line="480" w:lineRule="auto"/>
        <w:rPr>
          <w:rFonts w:ascii="Times New Roman" w:eastAsia="Times New Roman" w:hAnsi="Times New Roman" w:cs="Times New Roman"/>
          <w:b/>
        </w:rPr>
      </w:pPr>
    </w:p>
    <w:p w14:paraId="798FB58D" w14:textId="77777777" w:rsidR="00146544" w:rsidRDefault="00146544">
      <w:pPr>
        <w:spacing w:line="480" w:lineRule="auto"/>
        <w:rPr>
          <w:rFonts w:ascii="Times New Roman" w:eastAsia="Times New Roman" w:hAnsi="Times New Roman" w:cs="Times New Roman"/>
          <w:b/>
        </w:rPr>
      </w:pPr>
    </w:p>
    <w:p w14:paraId="1E690F8E" w14:textId="77777777" w:rsidR="00146544" w:rsidRDefault="00146544">
      <w:pPr>
        <w:spacing w:line="480" w:lineRule="auto"/>
        <w:rPr>
          <w:rFonts w:ascii="Times New Roman" w:eastAsia="Times New Roman" w:hAnsi="Times New Roman" w:cs="Times New Roman"/>
          <w:b/>
        </w:rPr>
      </w:pPr>
    </w:p>
    <w:p w14:paraId="24C8BB83" w14:textId="77777777" w:rsidR="00146544" w:rsidRDefault="00146544">
      <w:pPr>
        <w:spacing w:line="480" w:lineRule="auto"/>
        <w:rPr>
          <w:rFonts w:ascii="Times New Roman" w:eastAsia="Times New Roman" w:hAnsi="Times New Roman" w:cs="Times New Roman"/>
          <w:b/>
        </w:rPr>
      </w:pPr>
    </w:p>
    <w:p w14:paraId="5B696E19" w14:textId="77777777" w:rsidR="00146544" w:rsidRDefault="00146544">
      <w:pPr>
        <w:spacing w:line="480" w:lineRule="auto"/>
        <w:rPr>
          <w:rFonts w:ascii="Times New Roman" w:eastAsia="Times New Roman" w:hAnsi="Times New Roman" w:cs="Times New Roman"/>
          <w:b/>
        </w:rPr>
      </w:pPr>
    </w:p>
    <w:p w14:paraId="1409EDD1" w14:textId="77777777" w:rsidR="00146544" w:rsidRDefault="00146544">
      <w:pPr>
        <w:spacing w:line="480" w:lineRule="auto"/>
        <w:rPr>
          <w:rFonts w:ascii="Times New Roman" w:eastAsia="Times New Roman" w:hAnsi="Times New Roman" w:cs="Times New Roman"/>
          <w:b/>
        </w:rPr>
      </w:pPr>
    </w:p>
    <w:p w14:paraId="6573E8E6" w14:textId="77777777" w:rsidR="00146544" w:rsidRDefault="00146544">
      <w:pPr>
        <w:spacing w:line="480" w:lineRule="auto"/>
        <w:rPr>
          <w:rFonts w:ascii="Times New Roman" w:eastAsia="Times New Roman" w:hAnsi="Times New Roman" w:cs="Times New Roman"/>
          <w:b/>
        </w:rPr>
      </w:pPr>
    </w:p>
    <w:p w14:paraId="566FE8C6" w14:textId="77777777" w:rsidR="00146544" w:rsidRDefault="00146544">
      <w:pPr>
        <w:spacing w:line="480" w:lineRule="auto"/>
        <w:rPr>
          <w:rFonts w:ascii="Times New Roman" w:eastAsia="Times New Roman" w:hAnsi="Times New Roman" w:cs="Times New Roman"/>
          <w:b/>
        </w:rPr>
      </w:pPr>
    </w:p>
    <w:p w14:paraId="5D0715AB" w14:textId="77777777" w:rsidR="00146544" w:rsidRDefault="00146544">
      <w:pPr>
        <w:spacing w:line="480" w:lineRule="auto"/>
        <w:rPr>
          <w:rFonts w:ascii="Times New Roman" w:eastAsia="Times New Roman" w:hAnsi="Times New Roman" w:cs="Times New Roman"/>
          <w:b/>
        </w:rPr>
      </w:pPr>
    </w:p>
    <w:p w14:paraId="11D775E3" w14:textId="77777777" w:rsidR="001D002A" w:rsidRDefault="00000000">
      <w:pPr>
        <w:spacing w:line="480" w:lineRule="auto"/>
        <w:jc w:val="center"/>
        <w:rPr>
          <w:rFonts w:ascii="Times New Roman" w:eastAsia="Times New Roman" w:hAnsi="Times New Roman" w:cs="Times New Roman"/>
        </w:rPr>
      </w:pPr>
      <w:r>
        <w:rPr>
          <w:rFonts w:ascii="Times New Roman" w:eastAsia="Times New Roman" w:hAnsi="Times New Roman" w:cs="Times New Roman"/>
          <w:b/>
        </w:rPr>
        <w:lastRenderedPageBreak/>
        <w:t>References</w:t>
      </w:r>
    </w:p>
    <w:p w14:paraId="11D23067" w14:textId="77777777" w:rsidR="001D002A" w:rsidRDefault="00000000">
      <w:pPr>
        <w:spacing w:line="48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1. Results and Data: 2024 Main Residency Match. NRMP. May 29, 2025. Accessed June 14, 2025. https://www.nrmp.org/match-data/2024/06/results-and-data-2024-main-residency-match/</w:t>
      </w:r>
      <w:r>
        <w:rPr>
          <w:rFonts w:ascii="Times New Roman" w:eastAsia="Times New Roman" w:hAnsi="Times New Roman" w:cs="Times New Roman"/>
          <w:highlight w:val="white"/>
        </w:rPr>
        <w:br/>
      </w:r>
    </w:p>
    <w:p w14:paraId="479795F7" w14:textId="77777777" w:rsidR="001D002A" w:rsidRDefault="00000000">
      <w:pPr>
        <w:spacing w:line="48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2. </w:t>
      </w:r>
      <w:proofErr w:type="spellStart"/>
      <w:r>
        <w:rPr>
          <w:rFonts w:ascii="Times New Roman" w:eastAsia="Times New Roman" w:hAnsi="Times New Roman" w:cs="Times New Roman"/>
          <w:highlight w:val="white"/>
        </w:rPr>
        <w:t>Vaysburg</w:t>
      </w:r>
      <w:proofErr w:type="spellEnd"/>
      <w:r>
        <w:rPr>
          <w:rFonts w:ascii="Times New Roman" w:eastAsia="Times New Roman" w:hAnsi="Times New Roman" w:cs="Times New Roman"/>
          <w:highlight w:val="white"/>
        </w:rPr>
        <w:t xml:space="preserve"> DM, Cortez AR, </w:t>
      </w:r>
      <w:proofErr w:type="spellStart"/>
      <w:r>
        <w:rPr>
          <w:rFonts w:ascii="Times New Roman" w:eastAsia="Times New Roman" w:hAnsi="Times New Roman" w:cs="Times New Roman"/>
          <w:highlight w:val="white"/>
        </w:rPr>
        <w:t>Hanseman</w:t>
      </w:r>
      <w:proofErr w:type="spellEnd"/>
      <w:r>
        <w:rPr>
          <w:rFonts w:ascii="Times New Roman" w:eastAsia="Times New Roman" w:hAnsi="Times New Roman" w:cs="Times New Roman"/>
          <w:highlight w:val="white"/>
        </w:rPr>
        <w:t xml:space="preserve"> DJ, et al. An analysis of applicant competitiveness to general surgery, surgical subspecialties, and integrated programs. </w:t>
      </w:r>
      <w:r>
        <w:rPr>
          <w:rFonts w:ascii="Times New Roman" w:eastAsia="Times New Roman" w:hAnsi="Times New Roman" w:cs="Times New Roman"/>
          <w:i/>
          <w:highlight w:val="white"/>
        </w:rPr>
        <w:t>Surgery.</w:t>
      </w:r>
      <w:r>
        <w:rPr>
          <w:rFonts w:ascii="Times New Roman" w:eastAsia="Times New Roman" w:hAnsi="Times New Roman" w:cs="Times New Roman"/>
          <w:highlight w:val="white"/>
        </w:rPr>
        <w:t xml:space="preserve"> 2021;170(4):1087-1092. </w:t>
      </w:r>
      <w:proofErr w:type="gramStart"/>
      <w:r>
        <w:rPr>
          <w:rFonts w:ascii="Times New Roman" w:eastAsia="Times New Roman" w:hAnsi="Times New Roman" w:cs="Times New Roman"/>
          <w:highlight w:val="white"/>
        </w:rPr>
        <w:t>doi:10.1016/j.surg</w:t>
      </w:r>
      <w:proofErr w:type="gramEnd"/>
      <w:r>
        <w:rPr>
          <w:rFonts w:ascii="Times New Roman" w:eastAsia="Times New Roman" w:hAnsi="Times New Roman" w:cs="Times New Roman"/>
          <w:highlight w:val="white"/>
        </w:rPr>
        <w:t>.2021.03.035</w:t>
      </w:r>
      <w:r>
        <w:rPr>
          <w:rFonts w:ascii="Times New Roman" w:eastAsia="Times New Roman" w:hAnsi="Times New Roman" w:cs="Times New Roman"/>
          <w:highlight w:val="white"/>
        </w:rPr>
        <w:br/>
      </w:r>
    </w:p>
    <w:p w14:paraId="1D610790" w14:textId="77777777" w:rsidR="001D002A" w:rsidRDefault="00000000">
      <w:pPr>
        <w:spacing w:line="48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3. Huq S, Khalafallah AM, Botros D, et al. Perceived impact of USMLE Step 1 pass/fail scoring change on neurosurgery: program director survey. </w:t>
      </w:r>
      <w:r>
        <w:rPr>
          <w:rFonts w:ascii="Times New Roman" w:eastAsia="Times New Roman" w:hAnsi="Times New Roman" w:cs="Times New Roman"/>
          <w:i/>
          <w:highlight w:val="white"/>
        </w:rPr>
        <w:t xml:space="preserve">J </w:t>
      </w:r>
      <w:proofErr w:type="spellStart"/>
      <w:r>
        <w:rPr>
          <w:rFonts w:ascii="Times New Roman" w:eastAsia="Times New Roman" w:hAnsi="Times New Roman" w:cs="Times New Roman"/>
          <w:i/>
          <w:highlight w:val="white"/>
        </w:rPr>
        <w:t>Neurosurg</w:t>
      </w:r>
      <w:proofErr w:type="spellEnd"/>
      <w:r>
        <w:rPr>
          <w:rFonts w:ascii="Times New Roman" w:eastAsia="Times New Roman" w:hAnsi="Times New Roman" w:cs="Times New Roman"/>
          <w:i/>
          <w:highlight w:val="white"/>
        </w:rPr>
        <w:t>.</w:t>
      </w:r>
      <w:r>
        <w:rPr>
          <w:rFonts w:ascii="Times New Roman" w:eastAsia="Times New Roman" w:hAnsi="Times New Roman" w:cs="Times New Roman"/>
          <w:highlight w:val="white"/>
        </w:rPr>
        <w:t xml:space="preserve"> 2020;133(3):928-935. doi:10.3171/2020.</w:t>
      </w:r>
      <w:proofErr w:type="gramStart"/>
      <w:r>
        <w:rPr>
          <w:rFonts w:ascii="Times New Roman" w:eastAsia="Times New Roman" w:hAnsi="Times New Roman" w:cs="Times New Roman"/>
          <w:highlight w:val="white"/>
        </w:rPr>
        <w:t>4.JNS</w:t>
      </w:r>
      <w:proofErr w:type="gramEnd"/>
      <w:r>
        <w:rPr>
          <w:rFonts w:ascii="Times New Roman" w:eastAsia="Times New Roman" w:hAnsi="Times New Roman" w:cs="Times New Roman"/>
          <w:highlight w:val="white"/>
        </w:rPr>
        <w:t>20748</w:t>
      </w:r>
      <w:r>
        <w:rPr>
          <w:rFonts w:ascii="Times New Roman" w:eastAsia="Times New Roman" w:hAnsi="Times New Roman" w:cs="Times New Roman"/>
          <w:highlight w:val="white"/>
        </w:rPr>
        <w:br/>
      </w:r>
    </w:p>
    <w:p w14:paraId="2E6BE931" w14:textId="77777777" w:rsidR="001D002A" w:rsidRDefault="00000000">
      <w:pPr>
        <w:spacing w:line="48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4. Charting Outcomes™: Characteristics of U.S. MD Seniors Who Matched to Their Preferred Specialty: 2024 Main Residency Match®. NRMP. August 20, 2024. Accessed September 22, 2024. https://www.nrmp.org/match-data/2024/08/charting-outcomes-characteristics-of-u-s-md-seniors-who-matched-to-their-preferred-specialty-2024-main-residency-match/</w:t>
      </w:r>
      <w:r>
        <w:rPr>
          <w:rFonts w:ascii="Times New Roman" w:eastAsia="Times New Roman" w:hAnsi="Times New Roman" w:cs="Times New Roman"/>
          <w:highlight w:val="white"/>
        </w:rPr>
        <w:br/>
      </w:r>
    </w:p>
    <w:p w14:paraId="7CDDDA62" w14:textId="77777777" w:rsidR="001D002A" w:rsidRDefault="00000000">
      <w:pPr>
        <w:spacing w:line="48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5. Kuo PC, Schroeder RA, Shah A, Shah J, Jacobs DO, </w:t>
      </w:r>
      <w:proofErr w:type="spellStart"/>
      <w:r>
        <w:rPr>
          <w:rFonts w:ascii="Times New Roman" w:eastAsia="Times New Roman" w:hAnsi="Times New Roman" w:cs="Times New Roman"/>
          <w:highlight w:val="white"/>
        </w:rPr>
        <w:t>Pietrobon</w:t>
      </w:r>
      <w:proofErr w:type="spellEnd"/>
      <w:r>
        <w:rPr>
          <w:rFonts w:ascii="Times New Roman" w:eastAsia="Times New Roman" w:hAnsi="Times New Roman" w:cs="Times New Roman"/>
          <w:highlight w:val="white"/>
        </w:rPr>
        <w:t xml:space="preserve"> R. “Ghost” publications among applicants to a general surgery residency program. </w:t>
      </w:r>
      <w:r>
        <w:rPr>
          <w:rFonts w:ascii="Times New Roman" w:eastAsia="Times New Roman" w:hAnsi="Times New Roman" w:cs="Times New Roman"/>
          <w:i/>
          <w:highlight w:val="white"/>
        </w:rPr>
        <w:t>J Am Coll Surg.</w:t>
      </w:r>
      <w:r>
        <w:rPr>
          <w:rFonts w:ascii="Times New Roman" w:eastAsia="Times New Roman" w:hAnsi="Times New Roman" w:cs="Times New Roman"/>
          <w:highlight w:val="white"/>
        </w:rPr>
        <w:t xml:space="preserve"> 2008;207(4):485-489. </w:t>
      </w:r>
      <w:proofErr w:type="gramStart"/>
      <w:r>
        <w:rPr>
          <w:rFonts w:ascii="Times New Roman" w:eastAsia="Times New Roman" w:hAnsi="Times New Roman" w:cs="Times New Roman"/>
          <w:highlight w:val="white"/>
        </w:rPr>
        <w:t>doi:10.1016/j.jamcollsurg</w:t>
      </w:r>
      <w:proofErr w:type="gramEnd"/>
      <w:r>
        <w:rPr>
          <w:rFonts w:ascii="Times New Roman" w:eastAsia="Times New Roman" w:hAnsi="Times New Roman" w:cs="Times New Roman"/>
          <w:highlight w:val="white"/>
        </w:rPr>
        <w:t>.2008.04.029</w:t>
      </w:r>
      <w:r>
        <w:rPr>
          <w:rFonts w:ascii="Times New Roman" w:eastAsia="Times New Roman" w:hAnsi="Times New Roman" w:cs="Times New Roman"/>
          <w:highlight w:val="white"/>
        </w:rPr>
        <w:br/>
      </w:r>
    </w:p>
    <w:p w14:paraId="660FDCC8" w14:textId="77777777" w:rsidR="001D002A" w:rsidRDefault="00000000">
      <w:pPr>
        <w:spacing w:line="48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6. Elliott B, Carmody JB. Publish or Perish: The Research Arms Race in Residency Selection. </w:t>
      </w:r>
      <w:r>
        <w:rPr>
          <w:rFonts w:ascii="Times New Roman" w:eastAsia="Times New Roman" w:hAnsi="Times New Roman" w:cs="Times New Roman"/>
          <w:i/>
          <w:highlight w:val="white"/>
        </w:rPr>
        <w:t>J Grad Med Educ.</w:t>
      </w:r>
      <w:r>
        <w:rPr>
          <w:rFonts w:ascii="Times New Roman" w:eastAsia="Times New Roman" w:hAnsi="Times New Roman" w:cs="Times New Roman"/>
          <w:highlight w:val="white"/>
        </w:rPr>
        <w:t xml:space="preserve"> 2023;15(5):524-527. doi:10.4300/JGME-D-23-00262.1</w:t>
      </w:r>
    </w:p>
    <w:sectPr w:rsidR="001D002A">
      <w:type w:val="continuous"/>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778CE5" w14:textId="77777777" w:rsidR="00516378" w:rsidRDefault="00516378">
      <w:r>
        <w:separator/>
      </w:r>
    </w:p>
  </w:endnote>
  <w:endnote w:type="continuationSeparator" w:id="0">
    <w:p w14:paraId="273361F2" w14:textId="77777777" w:rsidR="00516378" w:rsidRDefault="005163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embedRegular r:id="rId1" w:fontKey="{35C9A473-1EE7-6248-B65C-301113BDB9E5}"/>
    <w:embedItalic r:id="rId2" w:fontKey="{E6DBCD52-C99C-BF41-A727-C4A5FDA0FB0A}"/>
  </w:font>
  <w:font w:name="Play">
    <w:charset w:val="00"/>
    <w:family w:val="auto"/>
    <w:pitch w:val="default"/>
    <w:embedRegular r:id="rId3" w:fontKey="{B4B64AEC-AD0B-7D44-AD81-AE61A78DE37C}"/>
  </w:font>
  <w:font w:name="Times New Roman">
    <w:panose1 w:val="02020603050405020304"/>
    <w:charset w:val="00"/>
    <w:family w:val="roman"/>
    <w:pitch w:val="variable"/>
    <w:sig w:usb0="E0002EFF" w:usb1="C000785B" w:usb2="00000009" w:usb3="00000000" w:csb0="000001FF" w:csb1="00000000"/>
    <w:embedRegular r:id="rId4" w:fontKey="{60173B1D-697A-FD46-B110-282F332411A0}"/>
    <w:embedBold r:id="rId5" w:fontKey="{E4B99F73-6E8D-9040-BFE8-9D863AB88564}"/>
    <w:embedItalic r:id="rId6" w:fontKey="{6089A625-F027-3E43-8128-5EB6C76385A4}"/>
    <w:embedBoldItalic r:id="rId7" w:fontKey="{07A951A9-E831-EC4F-B0D2-2D553A01A992}"/>
  </w:font>
  <w:font w:name="Calibri">
    <w:panose1 w:val="020F0502020204030204"/>
    <w:charset w:val="00"/>
    <w:family w:val="swiss"/>
    <w:pitch w:val="variable"/>
    <w:sig w:usb0="E0002AFF" w:usb1="C000247B" w:usb2="00000009" w:usb3="00000000" w:csb0="000001FF" w:csb1="00000000"/>
    <w:embedRegular r:id="rId8" w:fontKey="{2AE01E13-B3DE-074A-A439-9FCE35010E71}"/>
  </w:font>
  <w:font w:name="Cambria">
    <w:panose1 w:val="02040503050406030204"/>
    <w:charset w:val="00"/>
    <w:family w:val="roman"/>
    <w:pitch w:val="variable"/>
    <w:sig w:usb0="E00002FF" w:usb1="400004FF" w:usb2="00000000" w:usb3="00000000" w:csb0="0000019F" w:csb1="00000000"/>
    <w:embedRegular r:id="rId9" w:fontKey="{D8568FEF-2E21-8C45-8A81-55491B8DED5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3113C9" w14:textId="77777777" w:rsidR="001D002A" w:rsidRDefault="00000000">
    <w:pPr>
      <w:jc w:val="center"/>
    </w:pPr>
    <w:r>
      <w:fldChar w:fldCharType="begin"/>
    </w:r>
    <w:r>
      <w:instrText>PAGE</w:instrText>
    </w:r>
    <w:r>
      <w:fldChar w:fldCharType="separate"/>
    </w:r>
    <w:r w:rsidR="00215135">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17FF3B" w14:textId="77777777" w:rsidR="00516378" w:rsidRDefault="00516378">
      <w:r>
        <w:separator/>
      </w:r>
    </w:p>
  </w:footnote>
  <w:footnote w:type="continuationSeparator" w:id="0">
    <w:p w14:paraId="3C3C3FE8" w14:textId="77777777" w:rsidR="00516378" w:rsidRDefault="005163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2838F6" w14:textId="77777777" w:rsidR="001D002A" w:rsidRDefault="001D002A">
    <w:pPr>
      <w:jc w:val="righ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9"/>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D002A"/>
    <w:rsid w:val="00146544"/>
    <w:rsid w:val="001C3F98"/>
    <w:rsid w:val="001D002A"/>
    <w:rsid w:val="00215135"/>
    <w:rsid w:val="004D46F6"/>
    <w:rsid w:val="00516378"/>
    <w:rsid w:val="007167FE"/>
    <w:rsid w:val="008A05AB"/>
    <w:rsid w:val="00C255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15D5F460"/>
  <w15:docId w15:val="{7B4580E7-5EA4-CC45-B6E8-12C6CBF2E9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uiPriority w:val="9"/>
    <w:semiHidden/>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uiPriority w:val="9"/>
    <w:semiHidden/>
    <w:unhideWhenUsed/>
    <w:qFormat/>
    <w:pPr>
      <w:keepNext/>
      <w:keepLines/>
      <w:spacing w:before="80" w:after="40"/>
      <w:outlineLvl w:val="3"/>
    </w:pPr>
    <w:rPr>
      <w:i/>
      <w:color w:val="0F4761"/>
    </w:rPr>
  </w:style>
  <w:style w:type="paragraph" w:styleId="Heading5">
    <w:name w:val="heading 5"/>
    <w:basedOn w:val="Normal"/>
    <w:next w:val="Normal"/>
    <w:uiPriority w:val="9"/>
    <w:semiHidden/>
    <w:unhideWhenUsed/>
    <w:qFormat/>
    <w:pPr>
      <w:keepNext/>
      <w:keepLines/>
      <w:spacing w:before="80" w:after="40"/>
      <w:outlineLvl w:val="4"/>
    </w:pPr>
    <w:rPr>
      <w:color w:val="0F4761"/>
    </w:rPr>
  </w:style>
  <w:style w:type="paragraph" w:styleId="Heading6">
    <w:name w:val="heading 6"/>
    <w:basedOn w:val="Normal"/>
    <w:next w:val="Normal"/>
    <w:uiPriority w:val="9"/>
    <w:semiHidden/>
    <w:unhideWhenUsed/>
    <w:qFormat/>
    <w:pPr>
      <w:keepNext/>
      <w:keepLines/>
      <w:spacing w:before="40"/>
      <w:outlineLvl w:val="5"/>
    </w:pPr>
    <w:rPr>
      <w:i/>
      <w:color w:val="59595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spacing w:after="80"/>
    </w:pPr>
    <w:rPr>
      <w:rFonts w:ascii="Play" w:eastAsia="Play" w:hAnsi="Play" w:cs="Play"/>
      <w:sz w:val="56"/>
      <w:szCs w:val="56"/>
    </w:rPr>
  </w:style>
  <w:style w:type="table" w:customStyle="1" w:styleId="TableNormal1">
    <w:name w:val="TableNormal"/>
    <w:tblPr>
      <w:tblCellMar>
        <w:top w:w="0" w:type="dxa"/>
        <w:left w:w="0" w:type="dxa"/>
        <w:bottom w:w="0" w:type="dxa"/>
        <w:right w:w="0" w:type="dxa"/>
      </w:tblCellMar>
    </w:tblPr>
  </w:style>
  <w:style w:type="paragraph" w:styleId="Subtitle">
    <w:name w:val="Subtitle"/>
    <w:basedOn w:val="Normal"/>
    <w:next w:val="Normal"/>
    <w:uiPriority w:val="11"/>
    <w:qFormat/>
    <w:pPr>
      <w:spacing w:after="160"/>
    </w:pPr>
    <w:rPr>
      <w:color w:val="595959"/>
      <w:sz w:val="28"/>
      <w:szCs w:val="28"/>
    </w:rPr>
  </w:style>
  <w:style w:type="table" w:customStyle="1" w:styleId="a">
    <w:basedOn w:val="TableNormal1"/>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bohler@oakland.edu"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I9KHeCM5DuJXo/0fU1lihLsiq8g==">CgMxLjAyDmguN3R6anNxbTAwMGRxOAByITFMMHNvbHF2NGZHdzk1R1lQM0E2c2xncmJsVUdEMUxwaQ==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13</Pages>
  <Words>2176</Words>
  <Characters>12405</Characters>
  <Application>Microsoft Office Word</Application>
  <DocSecurity>0</DocSecurity>
  <Lines>103</Lines>
  <Paragraphs>29</Paragraphs>
  <ScaleCrop>false</ScaleCrop>
  <Company/>
  <LinksUpToDate>false</LinksUpToDate>
  <CharactersWithSpaces>14552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jburmeister</cp:lastModifiedBy>
  <cp:revision>5</cp:revision>
  <dcterms:created xsi:type="dcterms:W3CDTF">2025-06-15T01:31:00Z</dcterms:created>
  <dcterms:modified xsi:type="dcterms:W3CDTF">2025-07-02T20:00:00Z</dcterms:modified>
</cp:coreProperties>
</file>